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6C0E4" w14:textId="77777777" w:rsidR="00B15C5D" w:rsidRPr="004360FB" w:rsidRDefault="00B15C5D" w:rsidP="004360FB"/>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77777777" w:rsidR="00365453" w:rsidRDefault="00B15C5D" w:rsidP="00365453">
      <w:pPr>
        <w:spacing w:before="240" w:after="240"/>
        <w:jc w:val="center"/>
        <w:rPr>
          <w:b/>
          <w:sz w:val="28"/>
          <w:szCs w:val="28"/>
        </w:rPr>
      </w:pPr>
      <w:r w:rsidRPr="00126460">
        <w:rPr>
          <w:b/>
          <w:sz w:val="28"/>
          <w:szCs w:val="28"/>
          <w:highlight w:val="yellow"/>
        </w:rPr>
        <w:t>PUBLICATION REF.: ____________________</w:t>
      </w: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bookmarkStart w:id="0" w:name="_GoBack"/>
      <w:bookmarkEnd w:id="0"/>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r w:rsidR="00B15C5D" w:rsidRPr="00EA7377" w14:paraId="4BE14448" w14:textId="77777777">
        <w:tc>
          <w:tcPr>
            <w:tcW w:w="1949" w:type="dxa"/>
            <w:shd w:val="pct10" w:color="auto" w:fill="FFFFFF"/>
          </w:tcPr>
          <w:p w14:paraId="5A448929"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124ED7AB" w14:textId="77777777" w:rsidR="00B15C5D" w:rsidRPr="00EA7377" w:rsidRDefault="00B15C5D">
            <w:pPr>
              <w:spacing w:before="120" w:after="120"/>
              <w:jc w:val="both"/>
              <w:rPr>
                <w:sz w:val="22"/>
                <w:szCs w:val="22"/>
                <w:lang w:val="en-GB"/>
              </w:rPr>
            </w:pPr>
          </w:p>
        </w:tc>
        <w:tc>
          <w:tcPr>
            <w:tcW w:w="2182" w:type="dxa"/>
          </w:tcPr>
          <w:p w14:paraId="75B47291" w14:textId="77777777" w:rsidR="00B15C5D" w:rsidRPr="00EA7377" w:rsidRDefault="00B15C5D">
            <w:pPr>
              <w:spacing w:before="120" w:after="120"/>
              <w:jc w:val="both"/>
              <w:rPr>
                <w:sz w:val="22"/>
                <w:szCs w:val="22"/>
                <w:lang w:val="en-GB"/>
              </w:rPr>
            </w:pPr>
          </w:p>
        </w:tc>
        <w:tc>
          <w:tcPr>
            <w:tcW w:w="2182" w:type="dxa"/>
          </w:tcPr>
          <w:p w14:paraId="269C0E67" w14:textId="77777777" w:rsidR="00B15C5D" w:rsidRPr="00EA7377" w:rsidRDefault="00B15C5D">
            <w:pPr>
              <w:spacing w:before="120" w:after="120"/>
              <w:jc w:val="both"/>
              <w:rPr>
                <w:sz w:val="22"/>
                <w:szCs w:val="22"/>
                <w:lang w:val="en-GB"/>
              </w:rPr>
            </w:pPr>
          </w:p>
        </w:tc>
      </w:tr>
      <w:tr w:rsidR="00B15C5D" w:rsidRPr="00EA7377" w14:paraId="500386C9" w14:textId="77777777">
        <w:tc>
          <w:tcPr>
            <w:tcW w:w="1949" w:type="dxa"/>
            <w:shd w:val="pct10" w:color="auto" w:fill="FFFFFF"/>
          </w:tcPr>
          <w:p w14:paraId="1C056735"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1655290F" w14:textId="77777777" w:rsidR="00B15C5D" w:rsidRPr="00EA7377" w:rsidRDefault="00B15C5D">
            <w:pPr>
              <w:spacing w:before="120" w:after="120"/>
              <w:jc w:val="both"/>
              <w:rPr>
                <w:sz w:val="22"/>
                <w:szCs w:val="22"/>
                <w:lang w:val="en-GB"/>
              </w:rPr>
            </w:pPr>
          </w:p>
        </w:tc>
        <w:tc>
          <w:tcPr>
            <w:tcW w:w="2182" w:type="dxa"/>
          </w:tcPr>
          <w:p w14:paraId="5C14DEE4" w14:textId="77777777" w:rsidR="00B15C5D" w:rsidRPr="00EA7377" w:rsidRDefault="00B15C5D">
            <w:pPr>
              <w:spacing w:before="120" w:after="120"/>
              <w:jc w:val="both"/>
              <w:rPr>
                <w:sz w:val="22"/>
                <w:szCs w:val="22"/>
                <w:lang w:val="en-GB"/>
              </w:rPr>
            </w:pPr>
          </w:p>
        </w:tc>
        <w:tc>
          <w:tcPr>
            <w:tcW w:w="2182" w:type="dxa"/>
          </w:tcPr>
          <w:p w14:paraId="27B7C4BE" w14:textId="77777777" w:rsidR="00B15C5D" w:rsidRPr="00EA7377" w:rsidRDefault="00B15C5D">
            <w:pPr>
              <w:spacing w:before="120" w:after="120"/>
              <w:jc w:val="both"/>
              <w:rPr>
                <w:sz w:val="22"/>
                <w:szCs w:val="22"/>
                <w:lang w:val="en-GB"/>
              </w:rPr>
            </w:pPr>
          </w:p>
        </w:tc>
      </w:tr>
      <w:tr w:rsidR="00B15C5D" w:rsidRPr="00EA7377" w14:paraId="0679D8B3" w14:textId="77777777">
        <w:tc>
          <w:tcPr>
            <w:tcW w:w="1949" w:type="dxa"/>
            <w:shd w:val="pct10" w:color="auto" w:fill="FFFFFF"/>
          </w:tcPr>
          <w:p w14:paraId="3256BE16"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44C72F81" w14:textId="77777777" w:rsidR="00B15C5D" w:rsidRPr="00EA7377" w:rsidRDefault="00B15C5D">
            <w:pPr>
              <w:spacing w:before="120" w:after="120"/>
              <w:jc w:val="both"/>
              <w:rPr>
                <w:sz w:val="22"/>
                <w:szCs w:val="22"/>
                <w:lang w:val="en-GB"/>
              </w:rPr>
            </w:pPr>
          </w:p>
        </w:tc>
        <w:tc>
          <w:tcPr>
            <w:tcW w:w="2182" w:type="dxa"/>
          </w:tcPr>
          <w:p w14:paraId="287635B7" w14:textId="77777777" w:rsidR="00B15C5D" w:rsidRPr="00EA7377" w:rsidRDefault="00B15C5D">
            <w:pPr>
              <w:spacing w:before="120" w:after="120"/>
              <w:jc w:val="both"/>
              <w:rPr>
                <w:sz w:val="22"/>
                <w:szCs w:val="22"/>
                <w:lang w:val="en-GB"/>
              </w:rPr>
            </w:pPr>
          </w:p>
        </w:tc>
        <w:tc>
          <w:tcPr>
            <w:tcW w:w="2182" w:type="dxa"/>
          </w:tcPr>
          <w:p w14:paraId="59F77CC1"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77777777" w:rsidR="00126460" w:rsidRPr="00234589" w:rsidRDefault="00126460" w:rsidP="00234589">
            <w:pPr>
              <w:keepNext/>
              <w:spacing w:before="240" w:after="120"/>
              <w:jc w:val="both"/>
              <w:rPr>
                <w:b/>
                <w:szCs w:val="24"/>
                <w:lang w:val="en-GB"/>
              </w:rPr>
            </w:pPr>
            <w:r w:rsidRPr="00234589">
              <w:rPr>
                <w:b/>
                <w:szCs w:val="24"/>
                <w:highlight w:val="yellow"/>
              </w:rPr>
              <w:t xml:space="preserve">Note: </w:t>
            </w:r>
            <w:proofErr w:type="spellStart"/>
            <w:r w:rsidRPr="00234589">
              <w:rPr>
                <w:b/>
                <w:szCs w:val="24"/>
                <w:highlight w:val="yellow"/>
              </w:rPr>
              <w:t>tenderer</w:t>
            </w:r>
            <w:proofErr w:type="spellEnd"/>
            <w:r w:rsidRPr="00234589">
              <w:rPr>
                <w:b/>
                <w:szCs w:val="24"/>
                <w:highlight w:val="yellow"/>
              </w:rPr>
              <w:t xml:space="preserve"> </w:t>
            </w:r>
            <w:proofErr w:type="spellStart"/>
            <w:r w:rsidRPr="00234589">
              <w:rPr>
                <w:b/>
                <w:szCs w:val="24"/>
                <w:highlight w:val="yellow"/>
              </w:rPr>
              <w:t>representatives</w:t>
            </w:r>
            <w:proofErr w:type="spellEnd"/>
            <w:r w:rsidRPr="00234589">
              <w:rPr>
                <w:b/>
                <w:szCs w:val="24"/>
                <w:highlight w:val="yellow"/>
              </w:rPr>
              <w:t xml:space="preserve"> are not </w:t>
            </w:r>
            <w:proofErr w:type="spellStart"/>
            <w:r w:rsidRPr="00234589">
              <w:rPr>
                <w:b/>
                <w:szCs w:val="24"/>
                <w:highlight w:val="yellow"/>
              </w:rPr>
              <w:t>observers</w:t>
            </w:r>
            <w:proofErr w:type="spellEnd"/>
            <w:r w:rsidRPr="00234589">
              <w:rPr>
                <w:b/>
                <w:szCs w:val="24"/>
                <w:highlight w:val="yellow"/>
              </w:rPr>
              <w:t xml:space="preserve"> and must </w:t>
            </w:r>
            <w:proofErr w:type="spellStart"/>
            <w:r w:rsidRPr="00234589">
              <w:rPr>
                <w:b/>
                <w:szCs w:val="24"/>
                <w:highlight w:val="yellow"/>
              </w:rPr>
              <w:t>leave</w:t>
            </w:r>
            <w:proofErr w:type="spellEnd"/>
            <w:r w:rsidRPr="00234589">
              <w:rPr>
                <w:b/>
                <w:szCs w:val="24"/>
                <w:highlight w:val="yellow"/>
              </w:rPr>
              <w:t xml:space="preserve"> </w:t>
            </w:r>
            <w:proofErr w:type="spellStart"/>
            <w:r w:rsidRPr="00234589">
              <w:rPr>
                <w:b/>
                <w:szCs w:val="24"/>
                <w:highlight w:val="yellow"/>
              </w:rPr>
              <w:t>after</w:t>
            </w:r>
            <w:proofErr w:type="spellEnd"/>
            <w:r w:rsidRPr="00234589">
              <w:rPr>
                <w:b/>
                <w:szCs w:val="24"/>
                <w:highlight w:val="yellow"/>
              </w:rPr>
              <w:t xml:space="preserve"> tender </w:t>
            </w:r>
            <w:proofErr w:type="spellStart"/>
            <w:r w:rsidRPr="00234589">
              <w:rPr>
                <w:b/>
                <w:szCs w:val="24"/>
                <w:highlight w:val="yellow"/>
              </w:rPr>
              <w:t>opening</w:t>
            </w:r>
            <w:proofErr w:type="spellEnd"/>
            <w:r w:rsidRPr="00234589">
              <w:rPr>
                <w:b/>
                <w:szCs w:val="24"/>
                <w:highlight w:val="yellow"/>
              </w:rPr>
              <w:t xml:space="preserve"> session.</w:t>
            </w: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2155" w:type="dxa"/>
            <w:shd w:val="pct10" w:color="auto" w:fill="FFFFFF"/>
          </w:tcPr>
          <w:p w14:paraId="5110572C"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 xml:space="preserve">[&lt;national currency&gt; </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7777777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77777777"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c>
          <w:tcPr>
            <w:tcW w:w="1701" w:type="dxa"/>
            <w:shd w:val="pct10" w:color="auto" w:fill="FFFFFF"/>
          </w:tcPr>
          <w:p w14:paraId="2F37F7B5" w14:textId="77777777"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Pr="00831F35">
              <w:rPr>
                <w:b/>
                <w:sz w:val="22"/>
                <w:szCs w:val="22"/>
                <w:highlight w:val="yellow"/>
                <w:lang w:val="en-GB"/>
              </w:rPr>
              <w:t>national currency</w:t>
            </w:r>
            <w:r w:rsidR="003F4F21" w:rsidRPr="00831F35">
              <w:rPr>
                <w:b/>
                <w:sz w:val="22"/>
                <w:szCs w:val="22"/>
                <w:highlight w:val="yellow"/>
                <w:lang w:val="en-GB"/>
              </w:rPr>
              <w:t xml:space="preserve">&gt; </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7777777"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559" w:type="dxa"/>
            <w:shd w:val="pct10" w:color="auto" w:fill="FFFFFF"/>
          </w:tcPr>
          <w:p w14:paraId="419C18A8" w14:textId="77777777"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c>
          <w:tcPr>
            <w:tcW w:w="1701" w:type="dxa"/>
            <w:shd w:val="pct10" w:color="auto" w:fill="FFFFFF"/>
          </w:tcPr>
          <w:p w14:paraId="1C6AB030" w14:textId="77777777"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126460">
              <w:rPr>
                <w:b/>
                <w:sz w:val="22"/>
                <w:szCs w:val="22"/>
                <w:highlight w:val="lightGray"/>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Pr>
          <w:rFonts w:ascii="Times New Roman" w:hAnsi="Times New Roman"/>
          <w:sz w:val="22"/>
          <w:szCs w:val="22"/>
        </w:rPr>
        <w:t>&lt;</w:t>
      </w:r>
      <w:r w:rsidRPr="007A16DC">
        <w:rPr>
          <w:rFonts w:ascii="Times New Roman" w:hAnsi="Times New Roman"/>
          <w:sz w:val="22"/>
          <w:szCs w:val="22"/>
          <w:highlight w:val="yellow"/>
        </w:rPr>
        <w:t>Ref</w:t>
      </w:r>
      <w:r>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0C905238"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 number and lot title</w:t>
      </w:r>
      <w:r w:rsidRPr="00E63C2B">
        <w:rPr>
          <w:rFonts w:ascii="Times New Roman" w:hAnsi="Times New Roman"/>
          <w:sz w:val="22"/>
          <w:szCs w:val="22"/>
        </w:rPr>
        <w:t>:</w:t>
      </w:r>
      <w:r>
        <w:rPr>
          <w:rFonts w:ascii="Times New Roman" w:hAnsi="Times New Roman"/>
          <w:sz w:val="22"/>
          <w:szCs w:val="22"/>
        </w:rPr>
        <w:t xml:space="preserve"> &lt;</w:t>
      </w:r>
      <w:r w:rsidRPr="007A16DC">
        <w:rPr>
          <w:rFonts w:ascii="Times New Roman" w:hAnsi="Times New Roman"/>
          <w:sz w:val="22"/>
          <w:szCs w:val="22"/>
          <w:highlight w:val="yellow"/>
        </w:rPr>
        <w:t>number and title</w:t>
      </w:r>
      <w:r>
        <w:rPr>
          <w:rFonts w:ascii="Times New Roman" w:hAnsi="Times New Roman"/>
          <w:sz w:val="22"/>
          <w:szCs w:val="22"/>
        </w:rPr>
        <w:t>&gt;</w:t>
      </w:r>
      <w:r w:rsidRPr="00E63C2B">
        <w:rPr>
          <w:rFonts w:ascii="Times New Roman" w:hAnsi="Times New Roman"/>
          <w:sz w:val="22"/>
          <w:szCs w:val="22"/>
        </w:rPr>
        <w:t xml:space="preserve"> ]</w:t>
      </w:r>
    </w:p>
    <w:p w14:paraId="17AED6F5" w14:textId="77777777"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amount and currency</w:t>
      </w:r>
      <w:r>
        <w:rPr>
          <w:rFonts w:ascii="Times New Roman" w:hAnsi="Times New Roman"/>
          <w:sz w:val="22"/>
          <w:szCs w:val="22"/>
        </w:rPr>
        <w:t>&gt;</w:t>
      </w:r>
    </w:p>
    <w:p w14:paraId="297939B7" w14:textId="77777777" w:rsidR="008D7896" w:rsidRPr="000C043B" w:rsidRDefault="008D7896" w:rsidP="008D7896">
      <w:pPr>
        <w:spacing w:before="120" w:after="120"/>
        <w:ind w:left="567" w:right="424"/>
        <w:jc w:val="both"/>
        <w:rPr>
          <w:sz w:val="23"/>
          <w:szCs w:val="23"/>
          <w:lang w:val="en-GB"/>
        </w:rPr>
      </w:pPr>
      <w:r w:rsidRPr="000C043B">
        <w:rPr>
          <w:bCs/>
          <w:sz w:val="22"/>
          <w:szCs w:val="22"/>
          <w:lang w:val="en-GB"/>
        </w:rPr>
        <w:t xml:space="preserve">The Contracting Authority, having </w:t>
      </w:r>
      <w:r w:rsidRPr="000C043B">
        <w:rPr>
          <w:sz w:val="23"/>
          <w:szCs w:val="23"/>
          <w:lang w:val="en-GB"/>
        </w:rPr>
        <w:t>examined the evaluation report prepared by the Evaluation Committee on the &lt;</w:t>
      </w:r>
      <w:r w:rsidRPr="000C043B">
        <w:rPr>
          <w:sz w:val="23"/>
          <w:szCs w:val="23"/>
          <w:highlight w:val="yellow"/>
          <w:lang w:val="en-GB"/>
        </w:rPr>
        <w:t>date</w:t>
      </w:r>
      <w:r w:rsidRPr="000C043B">
        <w:rPr>
          <w:sz w:val="23"/>
          <w:szCs w:val="23"/>
          <w:lang w:val="en-GB"/>
        </w:rPr>
        <w:t>&gt;, acknowledges that the Evaluation Committee recommends that &lt;</w:t>
      </w:r>
      <w:r w:rsidRPr="000C043B">
        <w:rPr>
          <w:sz w:val="23"/>
          <w:szCs w:val="23"/>
          <w:highlight w:val="yellow"/>
          <w:lang w:val="en-GB"/>
        </w:rPr>
        <w:t>tenderer name</w:t>
      </w:r>
      <w:r w:rsidRPr="000C043B">
        <w:rPr>
          <w:sz w:val="23"/>
          <w:szCs w:val="23"/>
          <w:lang w:val="en-GB"/>
        </w:rPr>
        <w:t>&gt; is awarded the contract with a contract value of [</w:t>
      </w:r>
      <w:r w:rsidRPr="000C043B">
        <w:rPr>
          <w:sz w:val="23"/>
          <w:szCs w:val="23"/>
          <w:highlight w:val="lightGray"/>
          <w:lang w:val="en-GB"/>
        </w:rPr>
        <w:t>EUR</w:t>
      </w:r>
      <w:r w:rsidRPr="000C043B">
        <w:rPr>
          <w:sz w:val="23"/>
          <w:szCs w:val="23"/>
          <w:lang w:val="en-GB"/>
        </w:rPr>
        <w:t xml:space="preserve">] </w:t>
      </w:r>
      <w:r w:rsidRPr="00126460">
        <w:rPr>
          <w:sz w:val="23"/>
          <w:szCs w:val="23"/>
          <w:highlight w:val="lightGray"/>
          <w:lang w:val="en-GB"/>
        </w:rPr>
        <w:t>[&lt;</w:t>
      </w:r>
      <w:r w:rsidR="00126460" w:rsidRPr="00126460">
        <w:rPr>
          <w:sz w:val="23"/>
          <w:szCs w:val="23"/>
          <w:highlight w:val="lightGray"/>
          <w:lang w:val="en-GB"/>
        </w:rPr>
        <w:t>national currency</w:t>
      </w:r>
      <w:r w:rsidR="00126460">
        <w:rPr>
          <w:sz w:val="23"/>
          <w:szCs w:val="23"/>
          <w:lang w:val="en-GB"/>
        </w:rPr>
        <w:t>&gt;</w:t>
      </w:r>
      <w:r w:rsidRPr="000C043B">
        <w:rPr>
          <w:sz w:val="23"/>
          <w:szCs w:val="23"/>
          <w:lang w:val="en-GB"/>
        </w:rPr>
        <w:t>] &lt;</w:t>
      </w:r>
      <w:r w:rsidRPr="000C043B">
        <w:rPr>
          <w:sz w:val="23"/>
          <w:szCs w:val="23"/>
          <w:highlight w:val="yellow"/>
          <w:lang w:val="en-GB"/>
        </w:rPr>
        <w:t>amount</w:t>
      </w:r>
      <w:r w:rsidRPr="000C043B">
        <w:rPr>
          <w:sz w:val="23"/>
          <w:szCs w:val="23"/>
          <w:lang w:val="en-GB"/>
        </w:rPr>
        <w:t>&gt;.</w:t>
      </w:r>
    </w:p>
    <w:p w14:paraId="2AA7EA9D" w14:textId="77777777" w:rsidR="008D7896" w:rsidRPr="000C043B" w:rsidRDefault="008D7896" w:rsidP="00126460">
      <w:pPr>
        <w:tabs>
          <w:tab w:val="left" w:pos="600"/>
        </w:tabs>
        <w:ind w:left="567"/>
        <w:jc w:val="both"/>
        <w:rPr>
          <w:sz w:val="22"/>
          <w:szCs w:val="22"/>
          <w:lang w:val="en-GB"/>
        </w:rPr>
      </w:pPr>
      <w:r w:rsidRPr="000C043B">
        <w:rPr>
          <w:sz w:val="22"/>
          <w:szCs w:val="22"/>
          <w:lang w:val="en-GB"/>
        </w:rPr>
        <w:t xml:space="preserve">The Contracting </w:t>
      </w:r>
      <w:r w:rsidRPr="00126460">
        <w:rPr>
          <w:sz w:val="22"/>
          <w:szCs w:val="22"/>
          <w:lang w:val="en-GB"/>
        </w:rPr>
        <w:t>Authority</w:t>
      </w:r>
      <w:r w:rsidR="00126460" w:rsidRPr="00126460">
        <w:rPr>
          <w:sz w:val="22"/>
          <w:szCs w:val="22"/>
          <w:lang w:val="en-GB"/>
        </w:rPr>
        <w:t xml:space="preserve"> </w:t>
      </w:r>
      <w:r w:rsidRPr="00126460">
        <w:rPr>
          <w:sz w:val="22"/>
          <w:szCs w:val="22"/>
          <w:lang w:val="en-GB"/>
        </w:rPr>
        <w:t xml:space="preserve">approves the evaluation report. Following the Evaluation Committee's recommendation, the Contracting Authority takes the decision to award the contract to </w:t>
      </w:r>
      <w:r w:rsidRPr="000C043B">
        <w:rPr>
          <w:sz w:val="22"/>
          <w:szCs w:val="22"/>
          <w:highlight w:val="yellow"/>
          <w:lang w:val="en-GB"/>
        </w:rPr>
        <w:t>&lt;tenderer name&gt;</w:t>
      </w:r>
      <w:r w:rsidR="00126460">
        <w:rPr>
          <w:sz w:val="22"/>
          <w:szCs w:val="22"/>
          <w:lang w:val="en-GB"/>
        </w:rPr>
        <w:t>,</w:t>
      </w:r>
      <w:r w:rsidRPr="00126460">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D07F4" w14:textId="77777777" w:rsidR="0080730F" w:rsidRDefault="0080730F">
      <w:r>
        <w:separator/>
      </w:r>
    </w:p>
  </w:endnote>
  <w:endnote w:type="continuationSeparator" w:id="0">
    <w:p w14:paraId="05FB1090" w14:textId="77777777" w:rsidR="0080730F" w:rsidRDefault="00807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2B473C">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2BB03" w14:textId="77777777" w:rsidR="0080730F" w:rsidRDefault="0080730F">
      <w:r>
        <w:separator/>
      </w:r>
    </w:p>
  </w:footnote>
  <w:footnote w:type="continuationSeparator" w:id="0">
    <w:p w14:paraId="6E3CA087" w14:textId="77777777" w:rsidR="0080730F" w:rsidRDefault="00807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E3CE" w14:textId="11D2E1BB" w:rsidR="00893FDF" w:rsidRDefault="00893FDF" w:rsidP="00893FDF">
    <w:pPr>
      <w:rPr>
        <w:b/>
        <w:bCs/>
        <w:sz w:val="20"/>
        <w:lang w:val="en-GB"/>
      </w:rPr>
    </w:pPr>
    <w:r w:rsidRPr="00AA5131">
      <w:rPr>
        <w:noProof/>
        <w:lang w:val="hr-HR" w:eastAsia="hr-HR"/>
      </w:rPr>
      <w:drawing>
        <wp:inline distT="0" distB="0" distL="0" distR="0" wp14:anchorId="4B836BAF" wp14:editId="40C99E83">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5CD4"/>
    <w:rsid w:val="00011D0B"/>
    <w:rsid w:val="0001445F"/>
    <w:rsid w:val="000174C4"/>
    <w:rsid w:val="0003668D"/>
    <w:rsid w:val="00062A05"/>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60FB"/>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764A"/>
    <w:rsid w:val="009E1B08"/>
    <w:rsid w:val="00A03882"/>
    <w:rsid w:val="00A569A3"/>
    <w:rsid w:val="00A827B6"/>
    <w:rsid w:val="00A9008D"/>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24ED"/>
    <w:rsid w:val="00BF3202"/>
    <w:rsid w:val="00BF4A0C"/>
    <w:rsid w:val="00C20998"/>
    <w:rsid w:val="00C47C7E"/>
    <w:rsid w:val="00C70E03"/>
    <w:rsid w:val="00C72683"/>
    <w:rsid w:val="00C80B49"/>
    <w:rsid w:val="00CB7C2B"/>
    <w:rsid w:val="00CF24C6"/>
    <w:rsid w:val="00D303C0"/>
    <w:rsid w:val="00D5090F"/>
    <w:rsid w:val="00D77EEA"/>
    <w:rsid w:val="00D85AF0"/>
    <w:rsid w:val="00DC204A"/>
    <w:rsid w:val="00E63E9A"/>
    <w:rsid w:val="00E770D1"/>
    <w:rsid w:val="00E873DA"/>
    <w:rsid w:val="00E91439"/>
    <w:rsid w:val="00EA7377"/>
    <w:rsid w:val="00F337BD"/>
    <w:rsid w:val="00F45CD4"/>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B74F-CAD3-4F4D-A06D-63A053AC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Branimir Gojković</cp:lastModifiedBy>
  <cp:revision>5</cp:revision>
  <cp:lastPrinted>2012-09-24T13:34:00Z</cp:lastPrinted>
  <dcterms:created xsi:type="dcterms:W3CDTF">2019-04-14T16:06:00Z</dcterms:created>
  <dcterms:modified xsi:type="dcterms:W3CDTF">2020-01-28T10:10:00Z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