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2205"/>
        <w:gridCol w:w="1550"/>
        <w:gridCol w:w="1051"/>
        <w:gridCol w:w="4474"/>
        <w:gridCol w:w="1560"/>
        <w:gridCol w:w="2913"/>
      </w:tblGrid>
      <w:tr w:rsidR="003729C2" w:rsidRPr="00D56366" w:rsidTr="00D56366">
        <w:tc>
          <w:tcPr>
            <w:tcW w:w="467" w:type="dxa"/>
            <w:shd w:val="clear" w:color="auto" w:fill="C6D9F1" w:themeFill="text2" w:themeFillTint="33"/>
          </w:tcPr>
          <w:p w:rsidR="003729C2" w:rsidRPr="00D56366" w:rsidRDefault="003729C2">
            <w:pPr>
              <w:rPr>
                <w:b/>
                <w:lang w:val="en-GB"/>
              </w:rPr>
            </w:pPr>
            <w:r w:rsidRPr="00D56366">
              <w:rPr>
                <w:b/>
                <w:lang w:val="en-GB"/>
              </w:rPr>
              <w:t>PA</w:t>
            </w:r>
          </w:p>
        </w:tc>
        <w:tc>
          <w:tcPr>
            <w:tcW w:w="2205" w:type="dxa"/>
            <w:shd w:val="clear" w:color="auto" w:fill="C6D9F1" w:themeFill="text2" w:themeFillTint="33"/>
          </w:tcPr>
          <w:p w:rsidR="003729C2" w:rsidRPr="00D56366" w:rsidRDefault="003729C2">
            <w:pPr>
              <w:rPr>
                <w:b/>
                <w:lang w:val="en-GB"/>
              </w:rPr>
            </w:pPr>
            <w:r w:rsidRPr="00D56366">
              <w:rPr>
                <w:b/>
                <w:lang w:val="en-GB"/>
              </w:rPr>
              <w:t>Project Title</w:t>
            </w:r>
          </w:p>
        </w:tc>
        <w:tc>
          <w:tcPr>
            <w:tcW w:w="1550" w:type="dxa"/>
            <w:shd w:val="clear" w:color="auto" w:fill="C6D9F1" w:themeFill="text2" w:themeFillTint="33"/>
          </w:tcPr>
          <w:p w:rsidR="003729C2" w:rsidRPr="00D56366" w:rsidRDefault="003729C2">
            <w:pPr>
              <w:rPr>
                <w:b/>
                <w:lang w:val="en-GB"/>
              </w:rPr>
            </w:pPr>
            <w:r w:rsidRPr="00D56366">
              <w:rPr>
                <w:b/>
                <w:lang w:val="en-GB"/>
              </w:rPr>
              <w:t>EU funds</w:t>
            </w:r>
          </w:p>
        </w:tc>
        <w:tc>
          <w:tcPr>
            <w:tcW w:w="1051" w:type="dxa"/>
            <w:shd w:val="clear" w:color="auto" w:fill="C6D9F1" w:themeFill="text2" w:themeFillTint="33"/>
          </w:tcPr>
          <w:p w:rsidR="003729C2" w:rsidRPr="00D56366" w:rsidRDefault="003729C2">
            <w:pPr>
              <w:rPr>
                <w:b/>
                <w:lang w:val="en-GB"/>
              </w:rPr>
            </w:pPr>
            <w:r w:rsidRPr="00D56366">
              <w:rPr>
                <w:b/>
                <w:lang w:val="en-GB"/>
              </w:rPr>
              <w:t>Duration (months)</w:t>
            </w:r>
          </w:p>
        </w:tc>
        <w:tc>
          <w:tcPr>
            <w:tcW w:w="4474" w:type="dxa"/>
            <w:shd w:val="clear" w:color="auto" w:fill="C6D9F1" w:themeFill="text2" w:themeFillTint="33"/>
          </w:tcPr>
          <w:p w:rsidR="003729C2" w:rsidRPr="00D56366" w:rsidRDefault="003729C2">
            <w:pPr>
              <w:rPr>
                <w:b/>
                <w:lang w:val="en-GB"/>
              </w:rPr>
            </w:pPr>
            <w:r w:rsidRPr="00D56366">
              <w:rPr>
                <w:b/>
                <w:lang w:val="en-GB"/>
              </w:rPr>
              <w:t>Specific objectives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3729C2" w:rsidRPr="00D56366" w:rsidRDefault="003729C2">
            <w:pPr>
              <w:rPr>
                <w:b/>
                <w:lang w:val="en-GB"/>
              </w:rPr>
            </w:pPr>
            <w:r w:rsidRPr="00D56366">
              <w:rPr>
                <w:b/>
                <w:lang w:val="en-GB"/>
              </w:rPr>
              <w:t>Lead Partner</w:t>
            </w:r>
          </w:p>
        </w:tc>
        <w:tc>
          <w:tcPr>
            <w:tcW w:w="2913" w:type="dxa"/>
            <w:shd w:val="clear" w:color="auto" w:fill="C6D9F1" w:themeFill="text2" w:themeFillTint="33"/>
          </w:tcPr>
          <w:p w:rsidR="003729C2" w:rsidRPr="00D56366" w:rsidRDefault="003729C2">
            <w:pPr>
              <w:rPr>
                <w:b/>
                <w:lang w:val="en-GB"/>
              </w:rPr>
            </w:pPr>
            <w:r w:rsidRPr="00D56366">
              <w:rPr>
                <w:b/>
                <w:lang w:val="en-GB"/>
              </w:rPr>
              <w:t>Project Partners</w:t>
            </w:r>
          </w:p>
        </w:tc>
      </w:tr>
      <w:tr w:rsidR="003729C2" w:rsidRPr="00D56366" w:rsidTr="00D56366">
        <w:tc>
          <w:tcPr>
            <w:tcW w:w="467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1</w:t>
            </w:r>
          </w:p>
        </w:tc>
        <w:tc>
          <w:tcPr>
            <w:tcW w:w="2205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b/>
                <w:bCs/>
                <w:lang w:val="en-GB"/>
              </w:rPr>
              <w:t xml:space="preserve">We Care </w:t>
            </w:r>
            <w:r w:rsidRPr="00D56366">
              <w:rPr>
                <w:bCs/>
                <w:lang w:val="en-GB"/>
              </w:rPr>
              <w:t>- Ageing</w:t>
            </w:r>
            <w:r w:rsidRPr="00D56366">
              <w:rPr>
                <w:b/>
                <w:bCs/>
                <w:lang w:val="en-GB"/>
              </w:rPr>
              <w:t xml:space="preserve"> </w:t>
            </w:r>
            <w:r w:rsidRPr="00D56366">
              <w:rPr>
                <w:bCs/>
                <w:lang w:val="en-GB"/>
              </w:rPr>
              <w:t>with Dignity and Respect</w:t>
            </w:r>
          </w:p>
        </w:tc>
        <w:tc>
          <w:tcPr>
            <w:tcW w:w="1550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b/>
                <w:bCs/>
                <w:lang w:val="en-GB"/>
              </w:rPr>
              <w:t>607.822,24 EUR</w:t>
            </w:r>
          </w:p>
        </w:tc>
        <w:tc>
          <w:tcPr>
            <w:tcW w:w="1051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30</w:t>
            </w:r>
          </w:p>
        </w:tc>
        <w:tc>
          <w:tcPr>
            <w:tcW w:w="4474" w:type="dxa"/>
            <w:shd w:val="clear" w:color="auto" w:fill="DAEEF3" w:themeFill="accent5" w:themeFillTint="33"/>
          </w:tcPr>
          <w:p w:rsidR="003729C2" w:rsidRPr="00D56366" w:rsidRDefault="003729C2" w:rsidP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 xml:space="preserve">1) To mobilize physical and intellectual capacities of elderly from urban and rural areas of Banja Luka, </w:t>
            </w:r>
            <w:proofErr w:type="spellStart"/>
            <w:r w:rsidRPr="00D56366">
              <w:rPr>
                <w:lang w:val="en-GB"/>
              </w:rPr>
              <w:t>Garešnica</w:t>
            </w:r>
            <w:proofErr w:type="spellEnd"/>
            <w:r w:rsidRPr="00D56366">
              <w:rPr>
                <w:lang w:val="en-GB"/>
              </w:rPr>
              <w:t xml:space="preserve">, </w:t>
            </w:r>
            <w:proofErr w:type="spellStart"/>
            <w:r w:rsidRPr="00D56366">
              <w:rPr>
                <w:lang w:val="en-GB"/>
              </w:rPr>
              <w:t>Lipik</w:t>
            </w:r>
            <w:proofErr w:type="spellEnd"/>
            <w:r w:rsidRPr="00D56366">
              <w:rPr>
                <w:lang w:val="en-GB"/>
              </w:rPr>
              <w:t xml:space="preserve"> and Bar.</w:t>
            </w:r>
          </w:p>
          <w:p w:rsidR="003729C2" w:rsidRPr="00D56366" w:rsidRDefault="003729C2" w:rsidP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2) To improve the quality of life of elderly in rural areas through high-quality services adapted to their diversified needs.</w:t>
            </w:r>
          </w:p>
          <w:p w:rsidR="003729C2" w:rsidRPr="00D56366" w:rsidRDefault="003729C2" w:rsidP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3) To strengthen the capacities of elderly care staff through specialized trainings and ICT</w:t>
            </w:r>
          </w:p>
          <w:p w:rsidR="003729C2" w:rsidRPr="00D56366" w:rsidRDefault="003729C2" w:rsidP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4) To introduce ICT assistive technology for customized health and social care services (pilot project)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3729C2" w:rsidRPr="00D56366" w:rsidRDefault="003729C2" w:rsidP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Humanitarian organization Caritas of Roman Catholic Bishop's Ordinary Banja Luka (BA)</w:t>
            </w:r>
          </w:p>
        </w:tc>
        <w:tc>
          <w:tcPr>
            <w:tcW w:w="2913" w:type="dxa"/>
            <w:shd w:val="clear" w:color="auto" w:fill="DAEEF3" w:themeFill="accent5" w:themeFillTint="33"/>
          </w:tcPr>
          <w:p w:rsidR="003729C2" w:rsidRPr="00D56366" w:rsidRDefault="003729C2" w:rsidP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 xml:space="preserve">1) The City of </w:t>
            </w:r>
            <w:proofErr w:type="spellStart"/>
            <w:r w:rsidRPr="00D56366">
              <w:rPr>
                <w:lang w:val="en-GB"/>
              </w:rPr>
              <w:t>Garešnica</w:t>
            </w:r>
            <w:proofErr w:type="spellEnd"/>
            <w:r w:rsidRPr="00D56366">
              <w:rPr>
                <w:lang w:val="en-GB"/>
              </w:rPr>
              <w:t xml:space="preserve"> (HR), 2) The City of </w:t>
            </w:r>
            <w:proofErr w:type="spellStart"/>
            <w:r w:rsidRPr="00D56366">
              <w:rPr>
                <w:lang w:val="en-GB"/>
              </w:rPr>
              <w:t>Lipik</w:t>
            </w:r>
            <w:proofErr w:type="spellEnd"/>
            <w:r w:rsidRPr="00D56366">
              <w:rPr>
                <w:lang w:val="en-GB"/>
              </w:rPr>
              <w:t xml:space="preserve"> (HR),</w:t>
            </w:r>
          </w:p>
          <w:p w:rsidR="003729C2" w:rsidRPr="00D56366" w:rsidRDefault="003729C2" w:rsidP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3) Caritas of Bar Archdiocese (ME)</w:t>
            </w:r>
          </w:p>
        </w:tc>
      </w:tr>
      <w:tr w:rsidR="003729C2" w:rsidRPr="00D56366" w:rsidTr="00D56366">
        <w:tc>
          <w:tcPr>
            <w:tcW w:w="467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1</w:t>
            </w:r>
          </w:p>
        </w:tc>
        <w:tc>
          <w:tcPr>
            <w:tcW w:w="2205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b/>
                <w:bCs/>
                <w:lang w:val="en-GB"/>
              </w:rPr>
              <w:t xml:space="preserve">SLEEP MEDICINE </w:t>
            </w:r>
            <w:r w:rsidRPr="00D56366">
              <w:rPr>
                <w:bCs/>
                <w:lang w:val="en-GB"/>
              </w:rPr>
              <w:t>-</w:t>
            </w:r>
            <w:r w:rsidRPr="00D56366">
              <w:rPr>
                <w:b/>
                <w:bCs/>
                <w:lang w:val="en-GB"/>
              </w:rPr>
              <w:t xml:space="preserve"> </w:t>
            </w:r>
            <w:r w:rsidRPr="00D56366">
              <w:rPr>
                <w:bCs/>
                <w:lang w:val="en-GB"/>
              </w:rPr>
              <w:t>Joint Delivery of Sleep Medicine Diagnostic and Therapeutic Services in the Cross-Border Area of Southern Croatia and Western Bosnia and Herzegovina</w:t>
            </w:r>
          </w:p>
        </w:tc>
        <w:tc>
          <w:tcPr>
            <w:tcW w:w="1550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b/>
                <w:bCs/>
                <w:lang w:val="en-GB"/>
              </w:rPr>
              <w:t>549.615,10 EUR</w:t>
            </w:r>
          </w:p>
        </w:tc>
        <w:tc>
          <w:tcPr>
            <w:tcW w:w="1051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30</w:t>
            </w:r>
          </w:p>
        </w:tc>
        <w:tc>
          <w:tcPr>
            <w:tcW w:w="4474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To establish a long-term expert collaboration in the field of sleep medicine diagnostic and therapeutic services between public health care institutions in the cross-border area of southern Croatia and western Bosnia and Herzegovina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University of Split, School of Medicine (HR)</w:t>
            </w:r>
          </w:p>
        </w:tc>
        <w:tc>
          <w:tcPr>
            <w:tcW w:w="2913" w:type="dxa"/>
            <w:shd w:val="clear" w:color="auto" w:fill="DAEEF3" w:themeFill="accent5" w:themeFillTint="33"/>
          </w:tcPr>
          <w:p w:rsidR="003729C2" w:rsidRPr="00D56366" w:rsidRDefault="003729C2" w:rsidP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1)University Clinical Hospital Mostar (BA),</w:t>
            </w:r>
          </w:p>
          <w:p w:rsidR="003729C2" w:rsidRPr="00D56366" w:rsidRDefault="003729C2" w:rsidP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2)School of Medicine University of Mostar (BA)</w:t>
            </w:r>
          </w:p>
        </w:tc>
      </w:tr>
      <w:tr w:rsidR="003729C2" w:rsidRPr="00D56366" w:rsidTr="00D56366">
        <w:tc>
          <w:tcPr>
            <w:tcW w:w="467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1</w:t>
            </w:r>
          </w:p>
        </w:tc>
        <w:tc>
          <w:tcPr>
            <w:tcW w:w="2205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b/>
                <w:bCs/>
                <w:lang w:val="en-GB"/>
              </w:rPr>
              <w:t xml:space="preserve">Q-Access Healthcare: </w:t>
            </w:r>
            <w:r w:rsidRPr="00D56366">
              <w:rPr>
                <w:bCs/>
                <w:lang w:val="en-GB"/>
              </w:rPr>
              <w:t>Quality and Accessibility Improvement of Health Care in Cross-Border Area of Adriatic Hinterland</w:t>
            </w:r>
          </w:p>
        </w:tc>
        <w:tc>
          <w:tcPr>
            <w:tcW w:w="1550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b/>
                <w:bCs/>
                <w:lang w:val="en-GB"/>
              </w:rPr>
              <w:t>526.460,89 EUR</w:t>
            </w:r>
          </w:p>
        </w:tc>
        <w:tc>
          <w:tcPr>
            <w:tcW w:w="1051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20</w:t>
            </w:r>
          </w:p>
        </w:tc>
        <w:tc>
          <w:tcPr>
            <w:tcW w:w="4474" w:type="dxa"/>
            <w:shd w:val="clear" w:color="auto" w:fill="DAEEF3" w:themeFill="accent5" w:themeFillTint="33"/>
          </w:tcPr>
          <w:p w:rsidR="003729C2" w:rsidRPr="00D56366" w:rsidRDefault="003729C2" w:rsidP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1)To improve health care services quality and health care institutions quality and effectiveness in Project area</w:t>
            </w:r>
          </w:p>
          <w:p w:rsidR="003729C2" w:rsidRPr="00D56366" w:rsidRDefault="003729C2" w:rsidP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2)To improve access to diversified health care services in Project area</w:t>
            </w:r>
          </w:p>
          <w:p w:rsidR="003729C2" w:rsidRPr="00D56366" w:rsidRDefault="003729C2" w:rsidP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3)To increase public awareness at the national level about the needs of the vulnerable groups and their institutional support systems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 xml:space="preserve">Health Centre </w:t>
            </w:r>
            <w:proofErr w:type="spellStart"/>
            <w:r w:rsidRPr="00D56366">
              <w:rPr>
                <w:lang w:val="en-GB"/>
              </w:rPr>
              <w:t>Ljubuški</w:t>
            </w:r>
            <w:proofErr w:type="spellEnd"/>
          </w:p>
        </w:tc>
        <w:tc>
          <w:tcPr>
            <w:tcW w:w="2913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 xml:space="preserve">Health Centre </w:t>
            </w:r>
            <w:proofErr w:type="spellStart"/>
            <w:r w:rsidRPr="00D56366">
              <w:rPr>
                <w:lang w:val="en-GB"/>
              </w:rPr>
              <w:t>Metković</w:t>
            </w:r>
            <w:proofErr w:type="spellEnd"/>
          </w:p>
        </w:tc>
      </w:tr>
      <w:tr w:rsidR="003729C2" w:rsidRPr="00D56366" w:rsidTr="00D56366">
        <w:tc>
          <w:tcPr>
            <w:tcW w:w="467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1</w:t>
            </w:r>
          </w:p>
        </w:tc>
        <w:tc>
          <w:tcPr>
            <w:tcW w:w="2205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b/>
                <w:bCs/>
                <w:lang w:val="en-GB"/>
              </w:rPr>
              <w:t>PALL NET</w:t>
            </w:r>
            <w:r w:rsidRPr="00D56366">
              <w:rPr>
                <w:bCs/>
                <w:lang w:val="en-GB"/>
              </w:rPr>
              <w:t xml:space="preserve">- Improving </w:t>
            </w:r>
            <w:r w:rsidRPr="00D56366">
              <w:rPr>
                <w:bCs/>
                <w:lang w:val="en-GB"/>
              </w:rPr>
              <w:lastRenderedPageBreak/>
              <w:t>accessibility and availability of health and social services for vulnerable groups</w:t>
            </w:r>
          </w:p>
        </w:tc>
        <w:tc>
          <w:tcPr>
            <w:tcW w:w="1550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b/>
                <w:bCs/>
                <w:lang w:val="en-GB"/>
              </w:rPr>
              <w:lastRenderedPageBreak/>
              <w:t xml:space="preserve">668.023,27 </w:t>
            </w:r>
            <w:r w:rsidRPr="00D56366">
              <w:rPr>
                <w:b/>
                <w:bCs/>
                <w:lang w:val="en-GB"/>
              </w:rPr>
              <w:lastRenderedPageBreak/>
              <w:t>EUR</w:t>
            </w:r>
          </w:p>
        </w:tc>
        <w:tc>
          <w:tcPr>
            <w:tcW w:w="1051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lastRenderedPageBreak/>
              <w:t>20</w:t>
            </w:r>
          </w:p>
        </w:tc>
        <w:tc>
          <w:tcPr>
            <w:tcW w:w="4474" w:type="dxa"/>
            <w:shd w:val="clear" w:color="auto" w:fill="DAEEF3" w:themeFill="accent5" w:themeFillTint="33"/>
          </w:tcPr>
          <w:p w:rsidR="003729C2" w:rsidRPr="00D56366" w:rsidRDefault="003729C2" w:rsidP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 xml:space="preserve">1) To improve the quality of care for elderly </w:t>
            </w:r>
            <w:r w:rsidRPr="00D56366">
              <w:rPr>
                <w:lang w:val="en-GB"/>
              </w:rPr>
              <w:lastRenderedPageBreak/>
              <w:t>and people with disabilities by developing Palliative Care System and social services</w:t>
            </w:r>
          </w:p>
          <w:p w:rsidR="003729C2" w:rsidRPr="00D56366" w:rsidRDefault="003729C2" w:rsidP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2) To improve delivery mechanisms of health and social services through joint networking and training programmes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proofErr w:type="spellStart"/>
            <w:r w:rsidRPr="00D56366">
              <w:rPr>
                <w:lang w:val="en-GB"/>
              </w:rPr>
              <w:lastRenderedPageBreak/>
              <w:t>Bubamara</w:t>
            </w:r>
            <w:proofErr w:type="spellEnd"/>
            <w:r w:rsidRPr="00D56366">
              <w:rPr>
                <w:lang w:val="en-GB"/>
              </w:rPr>
              <w:t xml:space="preserve"> - </w:t>
            </w:r>
            <w:r w:rsidRPr="00D56366">
              <w:rPr>
                <w:lang w:val="en-GB"/>
              </w:rPr>
              <w:lastRenderedPageBreak/>
              <w:t xml:space="preserve">Association of people with disabilities </w:t>
            </w:r>
            <w:proofErr w:type="spellStart"/>
            <w:r w:rsidRPr="00D56366">
              <w:rPr>
                <w:lang w:val="en-GB"/>
              </w:rPr>
              <w:t>Vinkovci</w:t>
            </w:r>
            <w:proofErr w:type="spellEnd"/>
            <w:r w:rsidRPr="00D56366">
              <w:rPr>
                <w:lang w:val="en-GB"/>
              </w:rPr>
              <w:t xml:space="preserve"> (HR)</w:t>
            </w:r>
          </w:p>
        </w:tc>
        <w:tc>
          <w:tcPr>
            <w:tcW w:w="2913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lastRenderedPageBreak/>
              <w:t xml:space="preserve">1) Public Health Centre </w:t>
            </w:r>
            <w:proofErr w:type="spellStart"/>
            <w:r w:rsidRPr="00D56366">
              <w:rPr>
                <w:lang w:val="en-GB"/>
              </w:rPr>
              <w:lastRenderedPageBreak/>
              <w:t>Vinkovci</w:t>
            </w:r>
            <w:proofErr w:type="spellEnd"/>
            <w:r w:rsidRPr="00D56366">
              <w:rPr>
                <w:lang w:val="en-GB"/>
              </w:rPr>
              <w:t xml:space="preserve"> (HR), 2) Public Health Centre </w:t>
            </w:r>
            <w:proofErr w:type="spellStart"/>
            <w:r w:rsidRPr="00D56366">
              <w:rPr>
                <w:lang w:val="en-GB"/>
              </w:rPr>
              <w:t>Županja</w:t>
            </w:r>
            <w:proofErr w:type="spellEnd"/>
            <w:r w:rsidRPr="00D56366">
              <w:rPr>
                <w:lang w:val="en-GB"/>
              </w:rPr>
              <w:t xml:space="preserve"> (HR), 3) Canton Hospital </w:t>
            </w:r>
            <w:proofErr w:type="spellStart"/>
            <w:r w:rsidRPr="00D56366">
              <w:rPr>
                <w:lang w:val="en-GB"/>
              </w:rPr>
              <w:t>Dr.</w:t>
            </w:r>
            <w:proofErr w:type="spellEnd"/>
            <w:r w:rsidRPr="00D56366">
              <w:rPr>
                <w:lang w:val="en-GB"/>
              </w:rPr>
              <w:t xml:space="preserve"> Irfan </w:t>
            </w:r>
            <w:proofErr w:type="spellStart"/>
            <w:r w:rsidRPr="00D56366">
              <w:rPr>
                <w:lang w:val="en-GB"/>
              </w:rPr>
              <w:t>Ljubljankić</w:t>
            </w:r>
            <w:proofErr w:type="spellEnd"/>
            <w:r w:rsidRPr="00D56366">
              <w:rPr>
                <w:lang w:val="en-GB"/>
              </w:rPr>
              <w:t xml:space="preserve"> (BA), 4) Ministry of Health, </w:t>
            </w:r>
            <w:proofErr w:type="spellStart"/>
            <w:r w:rsidRPr="00D56366">
              <w:rPr>
                <w:lang w:val="en-GB"/>
              </w:rPr>
              <w:t>Labor</w:t>
            </w:r>
            <w:proofErr w:type="spellEnd"/>
            <w:r w:rsidRPr="00D56366">
              <w:rPr>
                <w:lang w:val="en-GB"/>
              </w:rPr>
              <w:t xml:space="preserve"> and Social Polices of Una-Sana Canton (BA)</w:t>
            </w:r>
          </w:p>
        </w:tc>
      </w:tr>
      <w:tr w:rsidR="003729C2" w:rsidRPr="00D56366" w:rsidTr="00D56366">
        <w:tc>
          <w:tcPr>
            <w:tcW w:w="467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b/>
                <w:bCs/>
                <w:lang w:val="en-GB"/>
              </w:rPr>
              <w:t xml:space="preserve">SMART SCHOOLS </w:t>
            </w:r>
            <w:r w:rsidRPr="00D56366">
              <w:rPr>
                <w:bCs/>
                <w:lang w:val="en-GB"/>
              </w:rPr>
              <w:t>Innovative minds for smart schools</w:t>
            </w:r>
          </w:p>
        </w:tc>
        <w:tc>
          <w:tcPr>
            <w:tcW w:w="1550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b/>
                <w:bCs/>
                <w:lang w:val="en-GB"/>
              </w:rPr>
              <w:t>1.389.081,27 EUR</w:t>
            </w:r>
          </w:p>
        </w:tc>
        <w:tc>
          <w:tcPr>
            <w:tcW w:w="1051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27</w:t>
            </w:r>
          </w:p>
        </w:tc>
        <w:tc>
          <w:tcPr>
            <w:tcW w:w="4474" w:type="dxa"/>
            <w:shd w:val="clear" w:color="auto" w:fill="DAEEF3" w:themeFill="accent5" w:themeFillTint="33"/>
          </w:tcPr>
          <w:p w:rsidR="003729C2" w:rsidRPr="00D56366" w:rsidRDefault="003729C2" w:rsidP="003729C2">
            <w:pPr>
              <w:rPr>
                <w:lang w:val="en-GB"/>
              </w:rPr>
            </w:pPr>
            <w:proofErr w:type="gramStart"/>
            <w:r w:rsidRPr="00D56366">
              <w:rPr>
                <w:lang w:val="en-GB"/>
              </w:rPr>
              <w:t>1)To</w:t>
            </w:r>
            <w:proofErr w:type="gramEnd"/>
            <w:r w:rsidRPr="00D56366">
              <w:rPr>
                <w:lang w:val="en-GB"/>
              </w:rPr>
              <w:t xml:space="preserve"> increase institutional and technical capacity of educational-sector public bodies and users in cross-border project area for sustainable energy management in their buildings.</w:t>
            </w:r>
          </w:p>
          <w:p w:rsidR="003729C2" w:rsidRPr="00D56366" w:rsidRDefault="003729C2" w:rsidP="003729C2">
            <w:pPr>
              <w:rPr>
                <w:lang w:val="en-GB"/>
              </w:rPr>
            </w:pPr>
            <w:proofErr w:type="gramStart"/>
            <w:r w:rsidRPr="00D56366">
              <w:rPr>
                <w:lang w:val="en-GB"/>
              </w:rPr>
              <w:t>2)To</w:t>
            </w:r>
            <w:proofErr w:type="gramEnd"/>
            <w:r w:rsidRPr="00D56366">
              <w:rPr>
                <w:lang w:val="en-GB"/>
              </w:rPr>
              <w:t xml:space="preserve"> support and promote youth innovations and research in the field of information and other technologies related to renewable energy utilisations.</w:t>
            </w:r>
          </w:p>
          <w:p w:rsidR="003729C2" w:rsidRPr="00D56366" w:rsidRDefault="003729C2" w:rsidP="003729C2">
            <w:pPr>
              <w:rPr>
                <w:lang w:val="en-GB"/>
              </w:rPr>
            </w:pPr>
            <w:proofErr w:type="gramStart"/>
            <w:r w:rsidRPr="00D56366">
              <w:rPr>
                <w:lang w:val="en-GB"/>
              </w:rPr>
              <w:t>3)To</w:t>
            </w:r>
            <w:proofErr w:type="gramEnd"/>
            <w:r w:rsidRPr="00D56366">
              <w:rPr>
                <w:lang w:val="en-GB"/>
              </w:rPr>
              <w:t xml:space="preserve"> increase energy efficiency of school buildings in cross-border project area through building renovation investment works.</w:t>
            </w:r>
          </w:p>
          <w:p w:rsidR="003729C2" w:rsidRPr="00D56366" w:rsidRDefault="003729C2" w:rsidP="003729C2">
            <w:pPr>
              <w:rPr>
                <w:lang w:val="en-GB"/>
              </w:rPr>
            </w:pPr>
            <w:proofErr w:type="gramStart"/>
            <w:r w:rsidRPr="00D56366">
              <w:rPr>
                <w:lang w:val="en-GB"/>
              </w:rPr>
              <w:t>4)To</w:t>
            </w:r>
            <w:proofErr w:type="gramEnd"/>
            <w:r w:rsidRPr="00D56366">
              <w:rPr>
                <w:lang w:val="en-GB"/>
              </w:rPr>
              <w:t xml:space="preserve"> increase project area‘s infrastructural capacity for energy generation from renewable sources.</w:t>
            </w:r>
          </w:p>
          <w:p w:rsidR="003729C2" w:rsidRPr="00D56366" w:rsidRDefault="003729C2" w:rsidP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5)To educate general public and other target groups on socio-economic benefits of energy efficiency and use of renewable energy sources and practicalities of taking energy efficiency improvement measures.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Association Centre for Development and Support – CRP (BA)</w:t>
            </w:r>
          </w:p>
        </w:tc>
        <w:tc>
          <w:tcPr>
            <w:tcW w:w="2913" w:type="dxa"/>
            <w:shd w:val="clear" w:color="auto" w:fill="DAEEF3" w:themeFill="accent5" w:themeFillTint="33"/>
          </w:tcPr>
          <w:p w:rsidR="003729C2" w:rsidRPr="00D56366" w:rsidRDefault="003729C2" w:rsidP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 xml:space="preserve">1)Green Action (HR), 2) </w:t>
            </w:r>
            <w:proofErr w:type="spellStart"/>
            <w:r w:rsidRPr="00D56366">
              <w:rPr>
                <w:lang w:val="en-GB"/>
              </w:rPr>
              <w:t>Brod-posavina</w:t>
            </w:r>
            <w:proofErr w:type="spellEnd"/>
            <w:r w:rsidRPr="00D56366">
              <w:rPr>
                <w:lang w:val="en-GB"/>
              </w:rPr>
              <w:t xml:space="preserve"> County (HR), 3) Tuzla Canton (BA),</w:t>
            </w:r>
          </w:p>
          <w:p w:rsidR="003729C2" w:rsidRPr="00D56366" w:rsidRDefault="003729C2" w:rsidP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 xml:space="preserve">4) </w:t>
            </w:r>
            <w:proofErr w:type="spellStart"/>
            <w:r w:rsidRPr="00D56366">
              <w:rPr>
                <w:lang w:val="en-GB"/>
              </w:rPr>
              <w:t>Brod</w:t>
            </w:r>
            <w:proofErr w:type="spellEnd"/>
            <w:r w:rsidRPr="00D56366">
              <w:rPr>
                <w:lang w:val="en-GB"/>
              </w:rPr>
              <w:t xml:space="preserve"> Ecological Society – BED (HR)</w:t>
            </w:r>
          </w:p>
        </w:tc>
      </w:tr>
      <w:tr w:rsidR="003729C2" w:rsidRPr="00D56366" w:rsidTr="00D56366">
        <w:tc>
          <w:tcPr>
            <w:tcW w:w="467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2</w:t>
            </w:r>
          </w:p>
        </w:tc>
        <w:tc>
          <w:tcPr>
            <w:tcW w:w="2205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b/>
                <w:bCs/>
                <w:lang w:val="en-GB"/>
              </w:rPr>
              <w:t>IRENE</w:t>
            </w:r>
            <w:r w:rsidRPr="00D56366">
              <w:rPr>
                <w:lang w:val="en-GB"/>
              </w:rPr>
              <w:t xml:space="preserve"> - </w:t>
            </w:r>
            <w:r w:rsidRPr="00D56366">
              <w:rPr>
                <w:bCs/>
                <w:lang w:val="en-GB"/>
              </w:rPr>
              <w:t xml:space="preserve">Interregional Renewable &amp; </w:t>
            </w:r>
            <w:proofErr w:type="spellStart"/>
            <w:r w:rsidRPr="00D56366">
              <w:rPr>
                <w:bCs/>
                <w:lang w:val="en-GB"/>
              </w:rPr>
              <w:t>ENEergy</w:t>
            </w:r>
            <w:proofErr w:type="spellEnd"/>
            <w:r w:rsidRPr="00D56366">
              <w:rPr>
                <w:bCs/>
                <w:lang w:val="en-GB"/>
              </w:rPr>
              <w:t xml:space="preserve"> efficiency network</w:t>
            </w:r>
          </w:p>
        </w:tc>
        <w:tc>
          <w:tcPr>
            <w:tcW w:w="1550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b/>
                <w:bCs/>
                <w:lang w:val="en-GB"/>
              </w:rPr>
              <w:t>1.650.315,80 EUR</w:t>
            </w:r>
          </w:p>
        </w:tc>
        <w:tc>
          <w:tcPr>
            <w:tcW w:w="1051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30</w:t>
            </w:r>
          </w:p>
        </w:tc>
        <w:tc>
          <w:tcPr>
            <w:tcW w:w="4474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 xml:space="preserve">1) To improve local energy management system in Zadar County, Herzegovina-Neretva Canton and </w:t>
            </w:r>
            <w:proofErr w:type="spellStart"/>
            <w:r w:rsidRPr="00D56366">
              <w:rPr>
                <w:lang w:val="en-GB"/>
              </w:rPr>
              <w:t>Boka</w:t>
            </w:r>
            <w:proofErr w:type="spellEnd"/>
            <w:r w:rsidRPr="00D56366">
              <w:rPr>
                <w:lang w:val="en-GB"/>
              </w:rPr>
              <w:t xml:space="preserve"> Bay Area through joint development of management and promotional tools for fostering energy efficiency and </w:t>
            </w:r>
            <w:r w:rsidRPr="00D56366">
              <w:rPr>
                <w:lang w:val="en-GB"/>
              </w:rPr>
              <w:lastRenderedPageBreak/>
              <w:t>renewable energy systems.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lastRenderedPageBreak/>
              <w:t>Zadar County Development Agency ZADRA NOVA (HR)</w:t>
            </w:r>
          </w:p>
        </w:tc>
        <w:tc>
          <w:tcPr>
            <w:tcW w:w="2913" w:type="dxa"/>
            <w:shd w:val="clear" w:color="auto" w:fill="DAEEF3" w:themeFill="accent5" w:themeFillTint="33"/>
          </w:tcPr>
          <w:p w:rsidR="003729C2" w:rsidRPr="00D56366" w:rsidRDefault="003729C2" w:rsidP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 xml:space="preserve">1) Zadar County (HR), 2) Eco Centre DOLPHIN (ME), 3) Municipality of </w:t>
            </w:r>
            <w:proofErr w:type="spellStart"/>
            <w:r w:rsidRPr="00D56366">
              <w:rPr>
                <w:lang w:val="en-GB"/>
              </w:rPr>
              <w:t>Tivat</w:t>
            </w:r>
            <w:proofErr w:type="spellEnd"/>
            <w:r w:rsidRPr="00D56366">
              <w:rPr>
                <w:lang w:val="en-GB"/>
              </w:rPr>
              <w:t xml:space="preserve"> (ME), 4) Association for economic development (BA),</w:t>
            </w:r>
          </w:p>
          <w:p w:rsidR="003729C2" w:rsidRPr="00D56366" w:rsidRDefault="003729C2" w:rsidP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lastRenderedPageBreak/>
              <w:t>5) City of Mostar (BA)</w:t>
            </w:r>
          </w:p>
        </w:tc>
      </w:tr>
      <w:tr w:rsidR="00B17C6E" w:rsidRPr="00D56366" w:rsidTr="00D56366">
        <w:tc>
          <w:tcPr>
            <w:tcW w:w="467" w:type="dxa"/>
            <w:shd w:val="clear" w:color="auto" w:fill="DAEEF3" w:themeFill="accent5" w:themeFillTint="33"/>
          </w:tcPr>
          <w:p w:rsidR="00B17C6E" w:rsidRPr="00D56366" w:rsidRDefault="00B17C6E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DAEEF3" w:themeFill="accent5" w:themeFillTint="33"/>
          </w:tcPr>
          <w:p w:rsidR="00B17C6E" w:rsidRPr="00D56366" w:rsidRDefault="00B17C6E">
            <w:pPr>
              <w:rPr>
                <w:b/>
                <w:bCs/>
                <w:lang w:val="en-GB"/>
              </w:rPr>
            </w:pPr>
            <w:proofErr w:type="spellStart"/>
            <w:r w:rsidRPr="00B17C6E">
              <w:rPr>
                <w:b/>
                <w:bCs/>
                <w:lang w:val="en-GB"/>
              </w:rPr>
              <w:t>safEarth</w:t>
            </w:r>
            <w:proofErr w:type="spellEnd"/>
            <w:r>
              <w:rPr>
                <w:b/>
                <w:bCs/>
                <w:lang w:val="en-GB"/>
              </w:rPr>
              <w:t xml:space="preserve"> -</w:t>
            </w:r>
            <w:r w:rsidRPr="00B17C6E">
              <w:rPr>
                <w:bCs/>
                <w:lang w:val="en-GB"/>
              </w:rPr>
              <w:t>Transnational advanced management of land use risk through landslide susceptibility maps design</w:t>
            </w:r>
          </w:p>
        </w:tc>
        <w:tc>
          <w:tcPr>
            <w:tcW w:w="1550" w:type="dxa"/>
            <w:shd w:val="clear" w:color="auto" w:fill="DAEEF3" w:themeFill="accent5" w:themeFillTint="33"/>
          </w:tcPr>
          <w:p w:rsidR="00B17C6E" w:rsidRPr="001C421B" w:rsidRDefault="00B17C6E">
            <w:pPr>
              <w:rPr>
                <w:b/>
                <w:bCs/>
                <w:lang w:val="en-GB"/>
              </w:rPr>
            </w:pPr>
            <w:bookmarkStart w:id="0" w:name="_GoBack"/>
            <w:r w:rsidRPr="001C421B">
              <w:rPr>
                <w:b/>
                <w:bCs/>
                <w:lang w:val="en-GB"/>
              </w:rPr>
              <w:t>880.000,92 EUR</w:t>
            </w:r>
            <w:bookmarkEnd w:id="0"/>
          </w:p>
        </w:tc>
        <w:tc>
          <w:tcPr>
            <w:tcW w:w="1051" w:type="dxa"/>
            <w:shd w:val="clear" w:color="auto" w:fill="DAEEF3" w:themeFill="accent5" w:themeFillTint="33"/>
          </w:tcPr>
          <w:p w:rsidR="00B17C6E" w:rsidRPr="00D56366" w:rsidRDefault="00B17C6E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4474" w:type="dxa"/>
            <w:shd w:val="clear" w:color="auto" w:fill="DAEEF3" w:themeFill="accent5" w:themeFillTint="33"/>
          </w:tcPr>
          <w:p w:rsidR="001C421B" w:rsidRPr="00B17C6E" w:rsidRDefault="001C421B" w:rsidP="001C421B">
            <w:pPr>
              <w:rPr>
                <w:lang w:val="en-GB"/>
              </w:rPr>
            </w:pPr>
            <w:proofErr w:type="gramStart"/>
            <w:r w:rsidRPr="00B17C6E">
              <w:rPr>
                <w:lang w:val="en-GB"/>
              </w:rPr>
              <w:t>1)To</w:t>
            </w:r>
            <w:proofErr w:type="gramEnd"/>
            <w:r w:rsidRPr="00B17C6E">
              <w:rPr>
                <w:lang w:val="en-GB"/>
              </w:rPr>
              <w:t xml:space="preserve"> operationalize the best practice methodologies for design of LSM for spatial planning and proper infrastructure construction.</w:t>
            </w:r>
          </w:p>
          <w:p w:rsidR="001C421B" w:rsidRPr="00B17C6E" w:rsidRDefault="001C421B" w:rsidP="001C421B">
            <w:pPr>
              <w:rPr>
                <w:lang w:val="en-GB"/>
              </w:rPr>
            </w:pPr>
            <w:proofErr w:type="gramStart"/>
            <w:r w:rsidRPr="00B17C6E">
              <w:rPr>
                <w:lang w:val="en-GB"/>
              </w:rPr>
              <w:t>2)To</w:t>
            </w:r>
            <w:proofErr w:type="gramEnd"/>
            <w:r w:rsidRPr="00B17C6E">
              <w:rPr>
                <w:lang w:val="en-GB"/>
              </w:rPr>
              <w:t xml:space="preserve"> </w:t>
            </w:r>
            <w:proofErr w:type="spellStart"/>
            <w:r w:rsidRPr="00B17C6E">
              <w:rPr>
                <w:lang w:val="en-GB"/>
              </w:rPr>
              <w:t>develope</w:t>
            </w:r>
            <w:proofErr w:type="spellEnd"/>
            <w:r w:rsidRPr="00B17C6E">
              <w:rPr>
                <w:lang w:val="en-GB"/>
              </w:rPr>
              <w:t xml:space="preserve"> strategies for the implementation of Landslide susceptibility maps management concepts for risk prevention.</w:t>
            </w:r>
          </w:p>
          <w:p w:rsidR="00B17C6E" w:rsidRPr="00D56366" w:rsidRDefault="001C421B" w:rsidP="001C421B">
            <w:pPr>
              <w:rPr>
                <w:lang w:val="en-GB"/>
              </w:rPr>
            </w:pPr>
            <w:proofErr w:type="gramStart"/>
            <w:r w:rsidRPr="00B17C6E">
              <w:rPr>
                <w:lang w:val="en-GB"/>
              </w:rPr>
              <w:t>3)To</w:t>
            </w:r>
            <w:proofErr w:type="gramEnd"/>
            <w:r w:rsidRPr="00B17C6E">
              <w:rPr>
                <w:lang w:val="en-GB"/>
              </w:rPr>
              <w:t xml:space="preserve"> build capacity for relevant stakeholders and administrations through discussions, workshops and dialogues.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B17C6E" w:rsidRPr="00D56366" w:rsidRDefault="00B17C6E">
            <w:pPr>
              <w:rPr>
                <w:lang w:val="en-GB"/>
              </w:rPr>
            </w:pPr>
            <w:r w:rsidRPr="00B17C6E">
              <w:rPr>
                <w:lang w:val="en-GB"/>
              </w:rPr>
              <w:t>Croatian Geological Survey (HR)</w:t>
            </w:r>
          </w:p>
        </w:tc>
        <w:tc>
          <w:tcPr>
            <w:tcW w:w="2913" w:type="dxa"/>
            <w:shd w:val="clear" w:color="auto" w:fill="DAEEF3" w:themeFill="accent5" w:themeFillTint="33"/>
          </w:tcPr>
          <w:p w:rsidR="00B17C6E" w:rsidRPr="00B17C6E" w:rsidRDefault="00B17C6E" w:rsidP="00B17C6E">
            <w:pPr>
              <w:rPr>
                <w:lang w:val="en-GB"/>
              </w:rPr>
            </w:pPr>
            <w:r w:rsidRPr="00B17C6E">
              <w:rPr>
                <w:lang w:val="en-GB"/>
              </w:rPr>
              <w:t>1)Geological Survey of Montenegro (ME);</w:t>
            </w:r>
          </w:p>
          <w:p w:rsidR="00B17C6E" w:rsidRPr="00B17C6E" w:rsidRDefault="00B17C6E" w:rsidP="00B17C6E">
            <w:pPr>
              <w:rPr>
                <w:lang w:val="en-GB"/>
              </w:rPr>
            </w:pPr>
            <w:r w:rsidRPr="00B17C6E">
              <w:rPr>
                <w:lang w:val="en-GB"/>
              </w:rPr>
              <w:t>2)Faculty of Mining, Geology and Civil Engineering (BA);</w:t>
            </w:r>
          </w:p>
          <w:p w:rsidR="00B17C6E" w:rsidRPr="00D56366" w:rsidRDefault="00B17C6E" w:rsidP="00B17C6E">
            <w:pPr>
              <w:rPr>
                <w:lang w:val="en-GB"/>
              </w:rPr>
            </w:pPr>
            <w:r w:rsidRPr="00B17C6E">
              <w:rPr>
                <w:lang w:val="en-GB"/>
              </w:rPr>
              <w:t xml:space="preserve">3)Development Agency </w:t>
            </w:r>
            <w:proofErr w:type="spellStart"/>
            <w:r w:rsidRPr="00B17C6E">
              <w:rPr>
                <w:lang w:val="en-GB"/>
              </w:rPr>
              <w:t>Žepče</w:t>
            </w:r>
            <w:proofErr w:type="spellEnd"/>
            <w:r w:rsidRPr="00B17C6E">
              <w:rPr>
                <w:lang w:val="en-GB"/>
              </w:rPr>
              <w:t xml:space="preserve"> (BA)</w:t>
            </w:r>
          </w:p>
        </w:tc>
      </w:tr>
      <w:tr w:rsidR="003729C2" w:rsidRPr="00D56366" w:rsidTr="00D56366">
        <w:tc>
          <w:tcPr>
            <w:tcW w:w="467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3</w:t>
            </w:r>
          </w:p>
        </w:tc>
        <w:tc>
          <w:tcPr>
            <w:tcW w:w="2205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b/>
                <w:bCs/>
                <w:lang w:val="en-GB"/>
              </w:rPr>
              <w:t xml:space="preserve">ADRIATIC CANYONING - </w:t>
            </w:r>
            <w:r w:rsidRPr="00D56366">
              <w:rPr>
                <w:bCs/>
                <w:lang w:val="en-GB"/>
              </w:rPr>
              <w:t>Adriatic Canyons Adventure Tours</w:t>
            </w:r>
          </w:p>
        </w:tc>
        <w:tc>
          <w:tcPr>
            <w:tcW w:w="1550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b/>
                <w:bCs/>
                <w:lang w:val="en-GB"/>
              </w:rPr>
              <w:t>1.699.747,75 EUR</w:t>
            </w:r>
          </w:p>
        </w:tc>
        <w:tc>
          <w:tcPr>
            <w:tcW w:w="1051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30</w:t>
            </w:r>
          </w:p>
        </w:tc>
        <w:tc>
          <w:tcPr>
            <w:tcW w:w="4474" w:type="dxa"/>
            <w:shd w:val="clear" w:color="auto" w:fill="DAEEF3" w:themeFill="accent5" w:themeFillTint="33"/>
          </w:tcPr>
          <w:p w:rsidR="001C421B" w:rsidRPr="00D56366" w:rsidRDefault="001C421B" w:rsidP="001C421B">
            <w:pPr>
              <w:rPr>
                <w:lang w:val="en-GB"/>
              </w:rPr>
            </w:pPr>
            <w:r>
              <w:rPr>
                <w:lang w:val="en-GB"/>
              </w:rPr>
              <w:t xml:space="preserve">1) </w:t>
            </w:r>
            <w:r w:rsidRPr="00D56366">
              <w:rPr>
                <w:lang w:val="en-GB"/>
              </w:rPr>
              <w:t>To create cross-border model for better management and promotion of active tourism in Adriatic Hinterland through pilot locations.</w:t>
            </w:r>
          </w:p>
          <w:p w:rsidR="003729C2" w:rsidRPr="00D56366" w:rsidRDefault="001C421B" w:rsidP="001C421B">
            <w:pPr>
              <w:rPr>
                <w:lang w:val="en-GB"/>
              </w:rPr>
            </w:pPr>
            <w:r w:rsidRPr="00D56366">
              <w:rPr>
                <w:lang w:val="en-GB"/>
              </w:rPr>
              <w:t>2) To increase quantity and quality of tourism offer and tourism services at specific locations and thus in the whole Adriatic Hinterland.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3729C2" w:rsidRPr="00D56366" w:rsidRDefault="001C421B">
            <w:pPr>
              <w:rPr>
                <w:lang w:val="en-GB"/>
              </w:rPr>
            </w:pPr>
            <w:r w:rsidRPr="00D56366">
              <w:rPr>
                <w:lang w:val="en-GB"/>
              </w:rPr>
              <w:t xml:space="preserve">City of </w:t>
            </w:r>
            <w:proofErr w:type="spellStart"/>
            <w:r w:rsidRPr="00D56366">
              <w:rPr>
                <w:lang w:val="en-GB"/>
              </w:rPr>
              <w:t>Široki</w:t>
            </w:r>
            <w:proofErr w:type="spellEnd"/>
            <w:r w:rsidRPr="00D56366">
              <w:rPr>
                <w:lang w:val="en-GB"/>
              </w:rPr>
              <w:t xml:space="preserve"> </w:t>
            </w:r>
            <w:proofErr w:type="spellStart"/>
            <w:r w:rsidRPr="00D56366">
              <w:rPr>
                <w:lang w:val="en-GB"/>
              </w:rPr>
              <w:t>Brijeg</w:t>
            </w:r>
            <w:proofErr w:type="spellEnd"/>
            <w:r w:rsidRPr="00D56366">
              <w:rPr>
                <w:lang w:val="en-GB"/>
              </w:rPr>
              <w:t xml:space="preserve"> (BA)</w:t>
            </w:r>
          </w:p>
        </w:tc>
        <w:tc>
          <w:tcPr>
            <w:tcW w:w="2913" w:type="dxa"/>
            <w:shd w:val="clear" w:color="auto" w:fill="DAEEF3" w:themeFill="accent5" w:themeFillTint="33"/>
          </w:tcPr>
          <w:p w:rsidR="003729C2" w:rsidRPr="00D56366" w:rsidRDefault="001C421B" w:rsidP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 xml:space="preserve">1) Municipality of </w:t>
            </w:r>
            <w:proofErr w:type="spellStart"/>
            <w:r w:rsidRPr="00D56366">
              <w:rPr>
                <w:lang w:val="en-GB"/>
              </w:rPr>
              <w:t>Grude</w:t>
            </w:r>
            <w:proofErr w:type="spellEnd"/>
            <w:r w:rsidRPr="00D56366">
              <w:rPr>
                <w:lang w:val="en-GB"/>
              </w:rPr>
              <w:t xml:space="preserve"> (BA), 2) City of </w:t>
            </w:r>
            <w:proofErr w:type="spellStart"/>
            <w:r w:rsidRPr="00D56366">
              <w:rPr>
                <w:lang w:val="en-GB"/>
              </w:rPr>
              <w:t>Obrovac</w:t>
            </w:r>
            <w:proofErr w:type="spellEnd"/>
            <w:r w:rsidRPr="00D56366">
              <w:rPr>
                <w:lang w:val="en-GB"/>
              </w:rPr>
              <w:t xml:space="preserve"> (HR), 3) City of </w:t>
            </w:r>
            <w:proofErr w:type="spellStart"/>
            <w:r w:rsidRPr="00D56366">
              <w:rPr>
                <w:lang w:val="en-GB"/>
              </w:rPr>
              <w:t>Drniš</w:t>
            </w:r>
            <w:proofErr w:type="spellEnd"/>
            <w:r w:rsidRPr="00D56366">
              <w:rPr>
                <w:lang w:val="en-GB"/>
              </w:rPr>
              <w:t xml:space="preserve"> (HR), 4) Agency for Construction and Development of Herceg </w:t>
            </w:r>
            <w:proofErr w:type="spellStart"/>
            <w:r w:rsidRPr="00D56366">
              <w:rPr>
                <w:lang w:val="en-GB"/>
              </w:rPr>
              <w:t>Novog</w:t>
            </w:r>
            <w:proofErr w:type="spellEnd"/>
            <w:r w:rsidRPr="00D56366">
              <w:rPr>
                <w:lang w:val="en-GB"/>
              </w:rPr>
              <w:t xml:space="preserve"> Ltd. (ME), 5) Agency for </w:t>
            </w:r>
            <w:proofErr w:type="spellStart"/>
            <w:r w:rsidRPr="00D56366">
              <w:rPr>
                <w:lang w:val="en-GB"/>
              </w:rPr>
              <w:t>Developement</w:t>
            </w:r>
            <w:proofErr w:type="spellEnd"/>
            <w:r w:rsidRPr="00D56366">
              <w:rPr>
                <w:lang w:val="en-GB"/>
              </w:rPr>
              <w:t xml:space="preserve"> </w:t>
            </w:r>
            <w:proofErr w:type="spellStart"/>
            <w:r w:rsidRPr="00D56366">
              <w:rPr>
                <w:lang w:val="en-GB"/>
              </w:rPr>
              <w:t>Zadarske</w:t>
            </w:r>
            <w:proofErr w:type="spellEnd"/>
            <w:r w:rsidRPr="00D56366">
              <w:rPr>
                <w:lang w:val="en-GB"/>
              </w:rPr>
              <w:t xml:space="preserve"> </w:t>
            </w:r>
            <w:proofErr w:type="spellStart"/>
            <w:r w:rsidRPr="00D56366">
              <w:rPr>
                <w:lang w:val="en-GB"/>
              </w:rPr>
              <w:t>županije</w:t>
            </w:r>
            <w:proofErr w:type="spellEnd"/>
            <w:r w:rsidRPr="00D56366">
              <w:rPr>
                <w:lang w:val="en-GB"/>
              </w:rPr>
              <w:t xml:space="preserve">- ZADRA NOVA (HR) </w:t>
            </w:r>
          </w:p>
        </w:tc>
      </w:tr>
      <w:tr w:rsidR="003729C2" w:rsidRPr="00D56366" w:rsidTr="00D56366">
        <w:tc>
          <w:tcPr>
            <w:tcW w:w="467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3</w:t>
            </w:r>
          </w:p>
        </w:tc>
        <w:tc>
          <w:tcPr>
            <w:tcW w:w="2205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proofErr w:type="spellStart"/>
            <w:r w:rsidRPr="00D56366">
              <w:rPr>
                <w:b/>
                <w:bCs/>
                <w:lang w:val="en-GB"/>
              </w:rPr>
              <w:t>RiTour</w:t>
            </w:r>
            <w:proofErr w:type="spellEnd"/>
            <w:r w:rsidRPr="00D56366">
              <w:rPr>
                <w:b/>
                <w:bCs/>
                <w:lang w:val="en-GB"/>
              </w:rPr>
              <w:t xml:space="preserve"> - </w:t>
            </w:r>
            <w:r w:rsidRPr="00D56366">
              <w:rPr>
                <w:bCs/>
                <w:lang w:val="en-GB"/>
              </w:rPr>
              <w:t>Valorisation of Cultural and Natural Heritage Through Cross-border Cooperation of Urban Tourist Destinations on the Adriatic Basin Karst Rivers</w:t>
            </w:r>
          </w:p>
        </w:tc>
        <w:tc>
          <w:tcPr>
            <w:tcW w:w="1550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b/>
                <w:bCs/>
                <w:lang w:val="en-GB"/>
              </w:rPr>
              <w:t>779.781,01 EUR</w:t>
            </w:r>
          </w:p>
        </w:tc>
        <w:tc>
          <w:tcPr>
            <w:tcW w:w="1051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30</w:t>
            </w:r>
          </w:p>
        </w:tc>
        <w:tc>
          <w:tcPr>
            <w:tcW w:w="4474" w:type="dxa"/>
            <w:shd w:val="clear" w:color="auto" w:fill="DAEEF3" w:themeFill="accent5" w:themeFillTint="33"/>
          </w:tcPr>
          <w:p w:rsidR="001C421B" w:rsidRPr="00D56366" w:rsidRDefault="001C421B" w:rsidP="001C421B">
            <w:pPr>
              <w:rPr>
                <w:lang w:val="en-GB"/>
              </w:rPr>
            </w:pPr>
            <w:r w:rsidRPr="00D56366">
              <w:rPr>
                <w:lang w:val="en-GB"/>
              </w:rPr>
              <w:t>1) To create a strategic framework, to strengthen the capacity and to establish a long-term cross-border cooperation for the sustainable development of urban destinations on rivers of the Adriatic basin.</w:t>
            </w:r>
          </w:p>
          <w:p w:rsidR="001C421B" w:rsidRPr="00D56366" w:rsidRDefault="001C421B" w:rsidP="001C421B">
            <w:pPr>
              <w:rPr>
                <w:lang w:val="en-GB"/>
              </w:rPr>
            </w:pPr>
            <w:r w:rsidRPr="00D56366">
              <w:rPr>
                <w:lang w:val="en-GB"/>
              </w:rPr>
              <w:t>2) To develop tourism products and to jointly promote urban destinations on the rivers of the Adriatic basin.</w:t>
            </w:r>
          </w:p>
          <w:p w:rsidR="003729C2" w:rsidRPr="00D56366" w:rsidRDefault="001C421B" w:rsidP="001C421B">
            <w:pPr>
              <w:rPr>
                <w:lang w:val="en-GB"/>
              </w:rPr>
            </w:pPr>
            <w:r w:rsidRPr="00D56366">
              <w:rPr>
                <w:lang w:val="en-GB"/>
              </w:rPr>
              <w:t>3) To revitalize cultural heritage of historical cities and to enhance green infrastructure on the rivers of the Adriatic basin.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3729C2" w:rsidRPr="00D56366" w:rsidRDefault="001C421B" w:rsidP="001C421B">
            <w:pPr>
              <w:rPr>
                <w:lang w:val="en-GB"/>
              </w:rPr>
            </w:pPr>
            <w:r w:rsidRPr="00D56366">
              <w:rPr>
                <w:lang w:val="en-GB"/>
              </w:rPr>
              <w:t>Public Institution RERA SD for Coordination and Development of Split Dalmatia County (HR</w:t>
            </w:r>
            <w:r>
              <w:rPr>
                <w:lang w:val="en-GB"/>
              </w:rPr>
              <w:t>)</w:t>
            </w:r>
          </w:p>
        </w:tc>
        <w:tc>
          <w:tcPr>
            <w:tcW w:w="2913" w:type="dxa"/>
            <w:shd w:val="clear" w:color="auto" w:fill="DAEEF3" w:themeFill="accent5" w:themeFillTint="33"/>
          </w:tcPr>
          <w:p w:rsidR="003729C2" w:rsidRPr="00D56366" w:rsidRDefault="001C421B" w:rsidP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 xml:space="preserve">1) City of </w:t>
            </w:r>
            <w:proofErr w:type="spellStart"/>
            <w:r w:rsidRPr="00D56366">
              <w:rPr>
                <w:lang w:val="en-GB"/>
              </w:rPr>
              <w:t>Solin</w:t>
            </w:r>
            <w:proofErr w:type="spellEnd"/>
            <w:r w:rsidRPr="00D56366">
              <w:rPr>
                <w:lang w:val="en-GB"/>
              </w:rPr>
              <w:t xml:space="preserve"> (HR), 2) Public Institution for the Management of Protected Areas in the Split-Dalmatia County „Sea and Karst” (HR), 3) The Tourist Board of the Herzegovina-Neretva Canton (BA), 4) City of Mostar (BA), 5) Tourist Organisation of Podgorica (ME)</w:t>
            </w:r>
          </w:p>
        </w:tc>
      </w:tr>
      <w:tr w:rsidR="003729C2" w:rsidRPr="00D56366" w:rsidTr="00D56366">
        <w:tc>
          <w:tcPr>
            <w:tcW w:w="467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lastRenderedPageBreak/>
              <w:t>4</w:t>
            </w:r>
          </w:p>
        </w:tc>
        <w:tc>
          <w:tcPr>
            <w:tcW w:w="2205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b/>
                <w:bCs/>
                <w:lang w:val="en-GB"/>
              </w:rPr>
              <w:t>BACAR</w:t>
            </w:r>
            <w:r w:rsidRPr="00D56366">
              <w:rPr>
                <w:lang w:val="en-GB"/>
              </w:rPr>
              <w:t xml:space="preserve"> </w:t>
            </w:r>
            <w:r w:rsidRPr="00D56366">
              <w:rPr>
                <w:bCs/>
                <w:lang w:val="en-GB"/>
              </w:rPr>
              <w:t>Better Access to Growth: Clusters and Competitiveness</w:t>
            </w:r>
          </w:p>
        </w:tc>
        <w:tc>
          <w:tcPr>
            <w:tcW w:w="1550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b/>
                <w:bCs/>
                <w:lang w:val="en-GB"/>
              </w:rPr>
              <w:t>972.432,01 EUR</w:t>
            </w:r>
          </w:p>
        </w:tc>
        <w:tc>
          <w:tcPr>
            <w:tcW w:w="1051" w:type="dxa"/>
            <w:shd w:val="clear" w:color="auto" w:fill="DAEEF3" w:themeFill="accent5" w:themeFillTint="33"/>
          </w:tcPr>
          <w:p w:rsidR="003729C2" w:rsidRPr="00D56366" w:rsidRDefault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>27</w:t>
            </w:r>
          </w:p>
        </w:tc>
        <w:tc>
          <w:tcPr>
            <w:tcW w:w="4474" w:type="dxa"/>
            <w:shd w:val="clear" w:color="auto" w:fill="DAEEF3" w:themeFill="accent5" w:themeFillTint="33"/>
          </w:tcPr>
          <w:p w:rsidR="001C421B" w:rsidRPr="00D56366" w:rsidRDefault="001C421B" w:rsidP="001C421B">
            <w:pPr>
              <w:rPr>
                <w:lang w:val="en-GB"/>
              </w:rPr>
            </w:pPr>
            <w:r w:rsidRPr="00D56366">
              <w:rPr>
                <w:lang w:val="en-GB"/>
              </w:rPr>
              <w:t xml:space="preserve">1) To raise the businesses’ knowledge and motivation on </w:t>
            </w:r>
            <w:proofErr w:type="spellStart"/>
            <w:r w:rsidRPr="00D56366">
              <w:rPr>
                <w:lang w:val="en-GB"/>
              </w:rPr>
              <w:t>clusterization</w:t>
            </w:r>
            <w:proofErr w:type="spellEnd"/>
            <w:r w:rsidRPr="00D56366">
              <w:rPr>
                <w:lang w:val="en-GB"/>
              </w:rPr>
              <w:t xml:space="preserve"> and establishment of three national clusters (creative industry, tourism and local food) and their cross border networking</w:t>
            </w:r>
          </w:p>
          <w:p w:rsidR="001C421B" w:rsidRPr="00D56366" w:rsidRDefault="001C421B" w:rsidP="001C421B">
            <w:pPr>
              <w:rPr>
                <w:lang w:val="en-GB"/>
              </w:rPr>
            </w:pPr>
            <w:r w:rsidRPr="00D56366">
              <w:rPr>
                <w:lang w:val="en-GB"/>
              </w:rPr>
              <w:t>2) Strengthening of business capacities in cooperation with support institutions and enhancement of innovations and transfer of new technologies</w:t>
            </w:r>
          </w:p>
          <w:p w:rsidR="003729C2" w:rsidRPr="00D56366" w:rsidRDefault="001C421B" w:rsidP="001C421B">
            <w:pPr>
              <w:rPr>
                <w:lang w:val="en-GB"/>
              </w:rPr>
            </w:pPr>
            <w:r w:rsidRPr="00D56366">
              <w:rPr>
                <w:lang w:val="en-GB"/>
              </w:rPr>
              <w:t>3) Penetration of new markets and internationalization of clusters through joint promotion</w:t>
            </w:r>
            <w:r w:rsidRPr="00D56366">
              <w:rPr>
                <w:lang w:val="en-GB"/>
              </w:rPr>
              <w:t xml:space="preserve"> 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3729C2" w:rsidRPr="00D56366" w:rsidRDefault="001C421B" w:rsidP="001C421B">
            <w:pPr>
              <w:rPr>
                <w:lang w:val="en-GB"/>
              </w:rPr>
            </w:pPr>
            <w:r w:rsidRPr="00D56366">
              <w:rPr>
                <w:lang w:val="en-GB"/>
              </w:rPr>
              <w:t>Municipality of Kotor (ME)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2913" w:type="dxa"/>
            <w:shd w:val="clear" w:color="auto" w:fill="DAEEF3" w:themeFill="accent5" w:themeFillTint="33"/>
          </w:tcPr>
          <w:p w:rsidR="003729C2" w:rsidRPr="00D56366" w:rsidRDefault="001C421B" w:rsidP="003729C2">
            <w:pPr>
              <w:rPr>
                <w:lang w:val="en-GB"/>
              </w:rPr>
            </w:pPr>
            <w:r w:rsidRPr="00D56366">
              <w:rPr>
                <w:lang w:val="en-GB"/>
              </w:rPr>
              <w:t xml:space="preserve">1) Chamber of Economy of Montenegro (ME), 2) Public Institution RERA SD for Coordination and Development of Split Dalmatia County (HR), 3) Ministry of Economy of Herzegovina-Neretva Canton (BA), 4) Chamber of Commerce and Industry of </w:t>
            </w:r>
            <w:proofErr w:type="spellStart"/>
            <w:r w:rsidRPr="00D56366">
              <w:rPr>
                <w:lang w:val="en-GB"/>
              </w:rPr>
              <w:t>Trebinje</w:t>
            </w:r>
            <w:proofErr w:type="spellEnd"/>
            <w:r w:rsidRPr="00D56366">
              <w:rPr>
                <w:lang w:val="en-GB"/>
              </w:rPr>
              <w:t xml:space="preserve"> Region (BA)</w:t>
            </w:r>
          </w:p>
        </w:tc>
      </w:tr>
      <w:tr w:rsidR="001C421B" w:rsidRPr="00D56366" w:rsidTr="00D56366">
        <w:tc>
          <w:tcPr>
            <w:tcW w:w="467" w:type="dxa"/>
            <w:shd w:val="clear" w:color="auto" w:fill="DAEEF3" w:themeFill="accent5" w:themeFillTint="33"/>
          </w:tcPr>
          <w:p w:rsidR="001C421B" w:rsidRPr="00D56366" w:rsidRDefault="001C421B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205" w:type="dxa"/>
            <w:shd w:val="clear" w:color="auto" w:fill="DAEEF3" w:themeFill="accent5" w:themeFillTint="33"/>
          </w:tcPr>
          <w:p w:rsidR="001C421B" w:rsidRPr="00D56366" w:rsidRDefault="001C421B">
            <w:pPr>
              <w:rPr>
                <w:b/>
                <w:bCs/>
                <w:lang w:val="en-GB"/>
              </w:rPr>
            </w:pPr>
            <w:proofErr w:type="spellStart"/>
            <w:r w:rsidRPr="001C421B">
              <w:rPr>
                <w:b/>
                <w:bCs/>
                <w:lang w:val="en-GB"/>
              </w:rPr>
              <w:t>CompetenceNET</w:t>
            </w:r>
            <w:proofErr w:type="spellEnd"/>
            <w:r>
              <w:rPr>
                <w:b/>
                <w:bCs/>
                <w:lang w:val="en-GB"/>
              </w:rPr>
              <w:t xml:space="preserve"> - </w:t>
            </w:r>
            <w:r w:rsidRPr="001C421B">
              <w:rPr>
                <w:bCs/>
                <w:lang w:val="en-GB"/>
              </w:rPr>
              <w:t>Improvement of Transnational Business Environment through Development of Business Competence Centres and Networks</w:t>
            </w:r>
          </w:p>
        </w:tc>
        <w:tc>
          <w:tcPr>
            <w:tcW w:w="1550" w:type="dxa"/>
            <w:shd w:val="clear" w:color="auto" w:fill="DAEEF3" w:themeFill="accent5" w:themeFillTint="33"/>
          </w:tcPr>
          <w:p w:rsidR="001C421B" w:rsidRPr="001C421B" w:rsidRDefault="001C421B">
            <w:pPr>
              <w:rPr>
                <w:b/>
                <w:bCs/>
                <w:lang w:val="en-GB"/>
              </w:rPr>
            </w:pPr>
            <w:r w:rsidRPr="001C421B">
              <w:rPr>
                <w:b/>
                <w:bCs/>
                <w:lang w:val="en-GB"/>
              </w:rPr>
              <w:t>593.466,40 EUR</w:t>
            </w:r>
          </w:p>
        </w:tc>
        <w:tc>
          <w:tcPr>
            <w:tcW w:w="1051" w:type="dxa"/>
            <w:shd w:val="clear" w:color="auto" w:fill="DAEEF3" w:themeFill="accent5" w:themeFillTint="33"/>
          </w:tcPr>
          <w:p w:rsidR="001C421B" w:rsidRPr="00D56366" w:rsidRDefault="001C421B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4474" w:type="dxa"/>
            <w:shd w:val="clear" w:color="auto" w:fill="DAEEF3" w:themeFill="accent5" w:themeFillTint="33"/>
          </w:tcPr>
          <w:p w:rsidR="001C421B" w:rsidRPr="001C421B" w:rsidRDefault="001C421B" w:rsidP="001C421B">
            <w:pPr>
              <w:rPr>
                <w:lang w:val="en-GB"/>
              </w:rPr>
            </w:pPr>
            <w:r w:rsidRPr="001C421B">
              <w:rPr>
                <w:lang w:val="en-GB"/>
              </w:rPr>
              <w:t xml:space="preserve">1)To enhance institutional infrastructure and services for advanced training of workforce and access to new technologies for MSMEs in </w:t>
            </w:r>
            <w:proofErr w:type="spellStart"/>
            <w:r w:rsidRPr="001C421B">
              <w:rPr>
                <w:lang w:val="en-GB"/>
              </w:rPr>
              <w:t>Zenica-Doboj</w:t>
            </w:r>
            <w:proofErr w:type="spellEnd"/>
            <w:r w:rsidRPr="001C421B">
              <w:rPr>
                <w:lang w:val="en-GB"/>
              </w:rPr>
              <w:t xml:space="preserve"> county, </w:t>
            </w:r>
            <w:proofErr w:type="spellStart"/>
            <w:r w:rsidRPr="001C421B">
              <w:rPr>
                <w:lang w:val="en-GB"/>
              </w:rPr>
              <w:t>Vukovar-Srijem</w:t>
            </w:r>
            <w:proofErr w:type="spellEnd"/>
            <w:r w:rsidRPr="001C421B">
              <w:rPr>
                <w:lang w:val="en-GB"/>
              </w:rPr>
              <w:t xml:space="preserve"> county and Podgorica</w:t>
            </w:r>
          </w:p>
          <w:p w:rsidR="001C421B" w:rsidRPr="001C421B" w:rsidRDefault="001C421B" w:rsidP="001C421B">
            <w:pPr>
              <w:rPr>
                <w:lang w:val="en-GB"/>
              </w:rPr>
            </w:pPr>
            <w:r w:rsidRPr="001C421B">
              <w:rPr>
                <w:lang w:val="en-GB"/>
              </w:rPr>
              <w:t xml:space="preserve">2)To improve competences of unemployed and companies on </w:t>
            </w:r>
            <w:proofErr w:type="spellStart"/>
            <w:r w:rsidRPr="001C421B">
              <w:rPr>
                <w:lang w:val="en-GB"/>
              </w:rPr>
              <w:t>strenghtening</w:t>
            </w:r>
            <w:proofErr w:type="spellEnd"/>
            <w:r w:rsidRPr="001C421B">
              <w:rPr>
                <w:lang w:val="en-GB"/>
              </w:rPr>
              <w:t xml:space="preserve"> </w:t>
            </w:r>
            <w:proofErr w:type="spellStart"/>
            <w:r w:rsidRPr="001C421B">
              <w:rPr>
                <w:lang w:val="en-GB"/>
              </w:rPr>
              <w:t>competitivenes</w:t>
            </w:r>
            <w:proofErr w:type="spellEnd"/>
            <w:r w:rsidRPr="001C421B">
              <w:rPr>
                <w:lang w:val="en-GB"/>
              </w:rPr>
              <w:t xml:space="preserve"> through training programs and cooperation with research institutions</w:t>
            </w:r>
          </w:p>
          <w:p w:rsidR="001C421B" w:rsidRPr="00D56366" w:rsidRDefault="001C421B" w:rsidP="001C421B">
            <w:pPr>
              <w:rPr>
                <w:lang w:val="en-GB"/>
              </w:rPr>
            </w:pPr>
            <w:r w:rsidRPr="001C421B">
              <w:rPr>
                <w:lang w:val="en-GB"/>
              </w:rPr>
              <w:t>3)To foster cooperation and exchange of knowledge between SMEs, academia and the public sector in improving business environment in the programme area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1C421B" w:rsidRPr="00D56366" w:rsidRDefault="001C421B">
            <w:pPr>
              <w:rPr>
                <w:lang w:val="en-GB"/>
              </w:rPr>
            </w:pPr>
            <w:r w:rsidRPr="001C421B">
              <w:rPr>
                <w:lang w:val="en-GB"/>
              </w:rPr>
              <w:t xml:space="preserve">Development Agency </w:t>
            </w:r>
            <w:proofErr w:type="spellStart"/>
            <w:r w:rsidRPr="001C421B">
              <w:rPr>
                <w:lang w:val="en-GB"/>
              </w:rPr>
              <w:t>Zepče</w:t>
            </w:r>
            <w:proofErr w:type="spellEnd"/>
            <w:r w:rsidRPr="001C421B">
              <w:rPr>
                <w:lang w:val="en-GB"/>
              </w:rPr>
              <w:t xml:space="preserve"> (BA)</w:t>
            </w:r>
          </w:p>
        </w:tc>
        <w:tc>
          <w:tcPr>
            <w:tcW w:w="2913" w:type="dxa"/>
            <w:shd w:val="clear" w:color="auto" w:fill="DAEEF3" w:themeFill="accent5" w:themeFillTint="33"/>
          </w:tcPr>
          <w:p w:rsidR="001C421B" w:rsidRPr="00D56366" w:rsidRDefault="001C421B" w:rsidP="003729C2">
            <w:pPr>
              <w:rPr>
                <w:lang w:val="en-GB"/>
              </w:rPr>
            </w:pPr>
            <w:r w:rsidRPr="001C421B">
              <w:rPr>
                <w:lang w:val="en-GB"/>
              </w:rPr>
              <w:t xml:space="preserve">1) Municipality of </w:t>
            </w:r>
            <w:proofErr w:type="spellStart"/>
            <w:r w:rsidRPr="001C421B">
              <w:rPr>
                <w:lang w:val="en-GB"/>
              </w:rPr>
              <w:t>Stari</w:t>
            </w:r>
            <w:proofErr w:type="spellEnd"/>
            <w:r w:rsidRPr="001C421B">
              <w:rPr>
                <w:lang w:val="en-GB"/>
              </w:rPr>
              <w:t xml:space="preserve"> </w:t>
            </w:r>
            <w:proofErr w:type="spellStart"/>
            <w:r w:rsidRPr="001C421B">
              <w:rPr>
                <w:lang w:val="en-GB"/>
              </w:rPr>
              <w:t>Jankovci</w:t>
            </w:r>
            <w:proofErr w:type="spellEnd"/>
            <w:r w:rsidRPr="001C421B">
              <w:rPr>
                <w:lang w:val="en-GB"/>
              </w:rPr>
              <w:t xml:space="preserve"> (HR), 2) Employers’ Union of Montenegro (ME), 3) Municipality of </w:t>
            </w:r>
            <w:proofErr w:type="spellStart"/>
            <w:r w:rsidRPr="001C421B">
              <w:rPr>
                <w:lang w:val="en-GB"/>
              </w:rPr>
              <w:t>Tovarnik</w:t>
            </w:r>
            <w:proofErr w:type="spellEnd"/>
            <w:r w:rsidRPr="001C421B">
              <w:rPr>
                <w:lang w:val="en-GB"/>
              </w:rPr>
              <w:t xml:space="preserve"> (HR)</w:t>
            </w:r>
          </w:p>
        </w:tc>
      </w:tr>
    </w:tbl>
    <w:p w:rsidR="009A6C6E" w:rsidRPr="00D56366" w:rsidRDefault="009A6C6E">
      <w:pPr>
        <w:rPr>
          <w:lang w:val="en-GB"/>
        </w:rPr>
      </w:pPr>
    </w:p>
    <w:sectPr w:rsidR="009A6C6E" w:rsidRPr="00D56366" w:rsidSect="003729C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B3" w:rsidRDefault="00902DB3" w:rsidP="006F00AB">
      <w:pPr>
        <w:spacing w:after="0" w:line="240" w:lineRule="auto"/>
      </w:pPr>
      <w:r>
        <w:separator/>
      </w:r>
    </w:p>
  </w:endnote>
  <w:endnote w:type="continuationSeparator" w:id="0">
    <w:p w:rsidR="00902DB3" w:rsidRDefault="00902DB3" w:rsidP="006F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B3" w:rsidRDefault="00902DB3" w:rsidP="006F00AB">
      <w:pPr>
        <w:spacing w:after="0" w:line="240" w:lineRule="auto"/>
      </w:pPr>
      <w:r>
        <w:separator/>
      </w:r>
    </w:p>
  </w:footnote>
  <w:footnote w:type="continuationSeparator" w:id="0">
    <w:p w:rsidR="00902DB3" w:rsidRDefault="00902DB3" w:rsidP="006F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0AB" w:rsidRDefault="006F00AB">
    <w:pPr>
      <w:pStyle w:val="Header"/>
    </w:pPr>
    <w:r>
      <w:rPr>
        <w:noProof/>
        <w:lang w:eastAsia="hr-HR"/>
      </w:rPr>
      <w:drawing>
        <wp:inline distT="0" distB="0" distL="0" distR="0" wp14:anchorId="7CD9B603" wp14:editId="47288381">
          <wp:extent cx="2974975" cy="7251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49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F7"/>
    <w:rsid w:val="001C421B"/>
    <w:rsid w:val="0030595B"/>
    <w:rsid w:val="003729C2"/>
    <w:rsid w:val="006F00AB"/>
    <w:rsid w:val="00902DB3"/>
    <w:rsid w:val="009A6C6E"/>
    <w:rsid w:val="00B17C6E"/>
    <w:rsid w:val="00C60BF7"/>
    <w:rsid w:val="00D5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0AB"/>
  </w:style>
  <w:style w:type="paragraph" w:styleId="Footer">
    <w:name w:val="footer"/>
    <w:basedOn w:val="Normal"/>
    <w:link w:val="FooterChar"/>
    <w:uiPriority w:val="99"/>
    <w:unhideWhenUsed/>
    <w:rsid w:val="006F0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0AB"/>
  </w:style>
  <w:style w:type="paragraph" w:styleId="BalloonText">
    <w:name w:val="Balloon Text"/>
    <w:basedOn w:val="Normal"/>
    <w:link w:val="BalloonTextChar"/>
    <w:uiPriority w:val="99"/>
    <w:semiHidden/>
    <w:unhideWhenUsed/>
    <w:rsid w:val="006F0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0AB"/>
  </w:style>
  <w:style w:type="paragraph" w:styleId="Footer">
    <w:name w:val="footer"/>
    <w:basedOn w:val="Normal"/>
    <w:link w:val="FooterChar"/>
    <w:uiPriority w:val="99"/>
    <w:unhideWhenUsed/>
    <w:rsid w:val="006F0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0AB"/>
  </w:style>
  <w:style w:type="paragraph" w:styleId="BalloonText">
    <w:name w:val="Balloon Text"/>
    <w:basedOn w:val="Normal"/>
    <w:link w:val="BalloonTextChar"/>
    <w:uiPriority w:val="99"/>
    <w:semiHidden/>
    <w:unhideWhenUsed/>
    <w:rsid w:val="006F0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Anđa Galiullin</dc:creator>
  <cp:keywords/>
  <dc:description/>
  <cp:lastModifiedBy>Anđa Galiullin</cp:lastModifiedBy>
  <cp:revision>6</cp:revision>
  <dcterms:created xsi:type="dcterms:W3CDTF">2017-05-31T13:08:00Z</dcterms:created>
  <dcterms:modified xsi:type="dcterms:W3CDTF">2017-06-01T11:25:00Z</dcterms:modified>
</cp:coreProperties>
</file>