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84BD38" w14:textId="77777777" w:rsidR="00DA4734" w:rsidRDefault="00DA4734" w:rsidP="00430315">
      <w:pPr>
        <w:rPr>
          <w:sz w:val="22"/>
          <w:szCs w:val="22"/>
        </w:rPr>
      </w:pPr>
    </w:p>
    <w:p w14:paraId="465C0EE5" w14:textId="77777777" w:rsidR="00775A4B" w:rsidRPr="00FB02EF" w:rsidRDefault="00775A4B" w:rsidP="00775A4B">
      <w:pPr>
        <w:pStyle w:val="Footer"/>
        <w:jc w:val="center"/>
        <w:rPr>
          <w:b/>
          <w:sz w:val="28"/>
          <w:szCs w:val="28"/>
        </w:rPr>
      </w:pPr>
      <w:r w:rsidRPr="00FB02EF">
        <w:rPr>
          <w:b/>
          <w:sz w:val="28"/>
          <w:szCs w:val="28"/>
        </w:rPr>
        <w:t>EVALUATION GRID</w:t>
      </w:r>
      <w:r>
        <w:rPr>
          <w:b/>
          <w:sz w:val="28"/>
          <w:szCs w:val="28"/>
        </w:rPr>
        <w:t xml:space="preserve"> </w:t>
      </w:r>
    </w:p>
    <w:p w14:paraId="54B44347" w14:textId="77777777" w:rsidR="00376664" w:rsidRDefault="00376664" w:rsidP="00430315">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3"/>
      </w:tblGrid>
      <w:tr w:rsidR="002A1564" w:rsidRPr="00EB1D9E" w14:paraId="576C3984" w14:textId="77777777" w:rsidTr="00EB1D9E">
        <w:tc>
          <w:tcPr>
            <w:tcW w:w="8529" w:type="dxa"/>
            <w:shd w:val="clear" w:color="auto" w:fill="auto"/>
          </w:tcPr>
          <w:p w14:paraId="2285DDB3" w14:textId="77777777" w:rsidR="002A1564" w:rsidRPr="005A0F48" w:rsidRDefault="002A1564" w:rsidP="00430315">
            <w:pPr>
              <w:rPr>
                <w:sz w:val="22"/>
                <w:szCs w:val="22"/>
                <w:highlight w:val="yellow"/>
              </w:rPr>
            </w:pPr>
            <w:r w:rsidRPr="005A0F48">
              <w:rPr>
                <w:sz w:val="22"/>
                <w:szCs w:val="22"/>
                <w:highlight w:val="yellow"/>
              </w:rPr>
              <w:t xml:space="preserve">Please </w:t>
            </w:r>
            <w:proofErr w:type="spellStart"/>
            <w:r w:rsidRPr="005A0F48">
              <w:rPr>
                <w:sz w:val="22"/>
                <w:szCs w:val="22"/>
                <w:highlight w:val="yellow"/>
              </w:rPr>
              <w:t>beare</w:t>
            </w:r>
            <w:proofErr w:type="spellEnd"/>
            <w:r w:rsidRPr="005A0F48">
              <w:rPr>
                <w:sz w:val="22"/>
                <w:szCs w:val="22"/>
                <w:highlight w:val="yellow"/>
              </w:rPr>
              <w:t xml:space="preserve"> in mind:</w:t>
            </w:r>
          </w:p>
          <w:p w14:paraId="0496ECE1" w14:textId="77777777" w:rsidR="002A1564" w:rsidRPr="00EB1D9E" w:rsidRDefault="002A1564" w:rsidP="00EB1D9E">
            <w:pPr>
              <w:pStyle w:val="ListParagraph"/>
              <w:numPr>
                <w:ilvl w:val="0"/>
                <w:numId w:val="2"/>
              </w:numPr>
              <w:spacing w:after="0" w:line="240" w:lineRule="auto"/>
              <w:ind w:left="284"/>
              <w:jc w:val="both"/>
              <w:rPr>
                <w:rFonts w:ascii="Times New Roman" w:hAnsi="Times New Roman"/>
                <w:highlight w:val="yellow"/>
                <w:lang w:val="en-GB"/>
              </w:rPr>
            </w:pPr>
            <w:r w:rsidRPr="00EB1D9E">
              <w:rPr>
                <w:rFonts w:ascii="Times New Roman" w:hAnsi="Times New Roman"/>
                <w:highlight w:val="yellow"/>
              </w:rPr>
              <w:t xml:space="preserve">Criteria for the best price-quality ratio </w:t>
            </w:r>
            <w:r w:rsidRPr="00EB1D9E">
              <w:rPr>
                <w:rFonts w:ascii="Times New Roman" w:hAnsi="Times New Roman"/>
                <w:b/>
                <w:highlight w:val="yellow"/>
              </w:rPr>
              <w:t>must be related to the subject-matter of the procurement. They are considered related</w:t>
            </w:r>
            <w:r w:rsidRPr="00EB1D9E">
              <w:rPr>
                <w:rFonts w:ascii="Times New Roman" w:hAnsi="Times New Roman"/>
                <w:highlight w:val="yellow"/>
              </w:rPr>
              <w:t xml:space="preserve"> where they relate to the services procured under the contract in any respect and in any stage of their life cycle, which includes and the factors involved in the special production process, purchase and exchange of services, or a specific process.</w:t>
            </w:r>
          </w:p>
          <w:p w14:paraId="2D0A26D7" w14:textId="77777777" w:rsidR="002A1564" w:rsidRPr="00EB1D9E" w:rsidRDefault="002A1564" w:rsidP="00EB1D9E">
            <w:pPr>
              <w:pStyle w:val="ListParagraph"/>
              <w:spacing w:after="0" w:line="240" w:lineRule="auto"/>
              <w:ind w:left="284"/>
              <w:jc w:val="both"/>
              <w:rPr>
                <w:rFonts w:ascii="Times New Roman" w:hAnsi="Times New Roman"/>
                <w:highlight w:val="yellow"/>
                <w:lang w:val="en-GB"/>
              </w:rPr>
            </w:pPr>
          </w:p>
          <w:p w14:paraId="7980DB4C" w14:textId="77777777" w:rsidR="002A1564" w:rsidRPr="005A0F48" w:rsidRDefault="002A1564" w:rsidP="00EB1D9E">
            <w:pPr>
              <w:pStyle w:val="ListParagraph"/>
              <w:numPr>
                <w:ilvl w:val="0"/>
                <w:numId w:val="2"/>
              </w:numPr>
              <w:spacing w:after="0" w:line="240" w:lineRule="auto"/>
              <w:ind w:left="284"/>
              <w:jc w:val="both"/>
              <w:rPr>
                <w:rFonts w:ascii="Times New Roman" w:hAnsi="Times New Roman"/>
                <w:highlight w:val="yellow"/>
                <w:lang w:val="en-GB"/>
              </w:rPr>
            </w:pPr>
            <w:r w:rsidRPr="00EB1D9E">
              <w:rPr>
                <w:rFonts w:ascii="Times New Roman" w:hAnsi="Times New Roman"/>
                <w:highlight w:val="yellow"/>
              </w:rPr>
              <w:t xml:space="preserve">The best price to quality ratio criteria </w:t>
            </w:r>
            <w:r w:rsidRPr="00EB1D9E">
              <w:rPr>
                <w:rFonts w:ascii="Times New Roman" w:hAnsi="Times New Roman"/>
                <w:b/>
                <w:highlight w:val="yellow"/>
              </w:rPr>
              <w:t xml:space="preserve">must be quantified, and must clearly state the relative weighting (importance) </w:t>
            </w:r>
            <w:r w:rsidRPr="00EB1D9E">
              <w:rPr>
                <w:rFonts w:ascii="Times New Roman" w:hAnsi="Times New Roman"/>
                <w:highlight w:val="yellow"/>
              </w:rPr>
              <w:t>that is assigned to each individual criterion chosen to determine the most economically advantageous tender (best price to quality ratio). Therefore, scoring system and methodology to be applied for the evaluation must be elaborated – please state clearly:</w:t>
            </w:r>
          </w:p>
          <w:p w14:paraId="5F69E09A" w14:textId="77777777" w:rsidR="002A1564" w:rsidRPr="00EB1D9E" w:rsidRDefault="002A1564" w:rsidP="00EB1D9E">
            <w:pPr>
              <w:pStyle w:val="ListParagraph"/>
              <w:numPr>
                <w:ilvl w:val="0"/>
                <w:numId w:val="3"/>
              </w:numPr>
              <w:spacing w:after="0" w:line="240" w:lineRule="auto"/>
              <w:rPr>
                <w:rFonts w:ascii="Times New Roman" w:hAnsi="Times New Roman"/>
                <w:highlight w:val="yellow"/>
                <w:lang w:val="en-GB"/>
              </w:rPr>
            </w:pPr>
            <w:proofErr w:type="spellStart"/>
            <w:r w:rsidRPr="00EB1D9E">
              <w:rPr>
                <w:rFonts w:ascii="Times New Roman" w:hAnsi="Times New Roman"/>
                <w:highlight w:val="yellow"/>
                <w:lang w:val="en-GB"/>
              </w:rPr>
              <w:t>Subcriteria</w:t>
            </w:r>
            <w:proofErr w:type="spellEnd"/>
            <w:r w:rsidRPr="00EB1D9E">
              <w:rPr>
                <w:rFonts w:ascii="Times New Roman" w:hAnsi="Times New Roman"/>
                <w:highlight w:val="yellow"/>
                <w:lang w:val="en-GB"/>
              </w:rPr>
              <w:t xml:space="preserve"> </w:t>
            </w:r>
          </w:p>
          <w:p w14:paraId="7BDA66A8" w14:textId="77777777" w:rsidR="002A1564" w:rsidRPr="00EB1D9E" w:rsidRDefault="002A1564" w:rsidP="00EB1D9E">
            <w:pPr>
              <w:pStyle w:val="ListParagraph"/>
              <w:numPr>
                <w:ilvl w:val="0"/>
                <w:numId w:val="3"/>
              </w:numPr>
              <w:spacing w:after="0" w:line="240" w:lineRule="auto"/>
              <w:rPr>
                <w:rFonts w:ascii="Times New Roman" w:hAnsi="Times New Roman"/>
                <w:highlight w:val="yellow"/>
                <w:lang w:val="en-GB"/>
              </w:rPr>
            </w:pPr>
            <w:r w:rsidRPr="00EB1D9E">
              <w:rPr>
                <w:rFonts w:ascii="Times New Roman" w:hAnsi="Times New Roman"/>
                <w:highlight w:val="yellow"/>
                <w:lang w:val="en-GB"/>
              </w:rPr>
              <w:t>Points awarded for each (sub)criteria</w:t>
            </w:r>
            <w:r w:rsidR="005A0F48">
              <w:rPr>
                <w:rFonts w:ascii="Times New Roman" w:hAnsi="Times New Roman"/>
                <w:highlight w:val="yellow"/>
                <w:lang w:val="en-GB"/>
              </w:rPr>
              <w:t xml:space="preserve"> </w:t>
            </w:r>
          </w:p>
          <w:p w14:paraId="04A13EC2" w14:textId="77777777" w:rsidR="002A1564" w:rsidRPr="00EB1D9E" w:rsidRDefault="002A1564" w:rsidP="00EB1D9E">
            <w:pPr>
              <w:pStyle w:val="ListParagraph"/>
              <w:spacing w:after="0" w:line="240" w:lineRule="auto"/>
              <w:rPr>
                <w:rFonts w:ascii="Times New Roman" w:hAnsi="Times New Roman"/>
                <w:highlight w:val="yellow"/>
                <w:lang w:val="en-GB"/>
              </w:rPr>
            </w:pPr>
          </w:p>
          <w:p w14:paraId="38F1588A" w14:textId="77777777" w:rsidR="002A1564" w:rsidRPr="00EB1D9E" w:rsidRDefault="002A1564" w:rsidP="00EB1D9E">
            <w:pPr>
              <w:pStyle w:val="Header"/>
              <w:numPr>
                <w:ilvl w:val="0"/>
                <w:numId w:val="2"/>
              </w:numPr>
              <w:shd w:val="clear" w:color="auto" w:fill="FFFF00"/>
              <w:tabs>
                <w:tab w:val="clear" w:pos="4153"/>
                <w:tab w:val="clear" w:pos="8306"/>
                <w:tab w:val="right" w:pos="284"/>
              </w:tabs>
              <w:spacing w:after="120"/>
              <w:ind w:left="284"/>
              <w:jc w:val="both"/>
              <w:rPr>
                <w:highlight w:val="yellow"/>
              </w:rPr>
            </w:pPr>
            <w:r w:rsidRPr="005A0F48">
              <w:rPr>
                <w:sz w:val="22"/>
                <w:szCs w:val="22"/>
                <w:highlight w:val="yellow"/>
              </w:rPr>
              <w:t xml:space="preserve">Evaluators must present their scores according to the criteria provided in the Evaluation grid. </w:t>
            </w:r>
            <w:r w:rsidR="009F70BB" w:rsidRPr="005A0F48">
              <w:rPr>
                <w:sz w:val="22"/>
                <w:szCs w:val="22"/>
                <w:highlight w:val="yellow"/>
              </w:rPr>
              <w:t>Criteria or</w:t>
            </w:r>
            <w:r w:rsidRPr="005A0F48">
              <w:rPr>
                <w:sz w:val="22"/>
                <w:szCs w:val="22"/>
                <w:highlight w:val="yellow"/>
              </w:rPr>
              <w:t xml:space="preserve"> scores cannot be modified after the deadline for informing potential </w:t>
            </w:r>
            <w:r w:rsidRPr="00EB1D9E">
              <w:rPr>
                <w:sz w:val="22"/>
                <w:szCs w:val="22"/>
                <w:highlight w:val="yellow"/>
              </w:rPr>
              <w:t>tenderers of any clarifications.</w:t>
            </w:r>
            <w:r w:rsidR="009F70BB" w:rsidRPr="00EB1D9E">
              <w:rPr>
                <w:highlight w:val="yellow"/>
              </w:rPr>
              <w:t xml:space="preserve"> </w:t>
            </w:r>
          </w:p>
          <w:p w14:paraId="1DDE8B97" w14:textId="77777777" w:rsidR="00317254" w:rsidRPr="00EB1D9E" w:rsidRDefault="00317254" w:rsidP="00EB1D9E">
            <w:pPr>
              <w:jc w:val="both"/>
              <w:rPr>
                <w:sz w:val="22"/>
                <w:highlight w:val="yellow"/>
              </w:rPr>
            </w:pPr>
            <w:r w:rsidRPr="00EB1D9E">
              <w:rPr>
                <w:sz w:val="22"/>
                <w:highlight w:val="yellow"/>
              </w:rPr>
              <w:t xml:space="preserve">Evaluators should independently from each other carry out the evaluation of the technical offers in a consistent manner by applying the same methodology, interpretation and understanding. This means that each evaluator applies the same standards and provides a well substantiated opinion supporting his/her individual scores. </w:t>
            </w:r>
          </w:p>
          <w:p w14:paraId="7D9DD114" w14:textId="77777777" w:rsidR="00317254" w:rsidRPr="00EB1D9E" w:rsidRDefault="00317254" w:rsidP="00EB1D9E">
            <w:pPr>
              <w:jc w:val="both"/>
              <w:rPr>
                <w:sz w:val="22"/>
                <w:highlight w:val="yellow"/>
              </w:rPr>
            </w:pPr>
          </w:p>
          <w:p w14:paraId="2A6AF96F" w14:textId="77777777" w:rsidR="00317254" w:rsidRPr="00EB1D9E" w:rsidRDefault="00317254" w:rsidP="00EB1D9E">
            <w:pPr>
              <w:spacing w:after="120"/>
              <w:jc w:val="both"/>
              <w:rPr>
                <w:sz w:val="22"/>
                <w:highlight w:val="yellow"/>
              </w:rPr>
            </w:pPr>
            <w:r w:rsidRPr="00EB1D9E">
              <w:rPr>
                <w:sz w:val="22"/>
                <w:highlight w:val="yellow"/>
              </w:rPr>
              <w:t xml:space="preserve">Each evaluator should be able to justify his/her assessment and scores in a meeting of the Evaluation Committee. The justifications must relate to the description of the project needs in the terms of reference and, for the key experts, to the profile descriptions included in it. </w:t>
            </w:r>
          </w:p>
          <w:p w14:paraId="64EFD2E4" w14:textId="77777777" w:rsidR="00317254" w:rsidRPr="00EB1D9E" w:rsidRDefault="00317254" w:rsidP="00317254">
            <w:pPr>
              <w:rPr>
                <w:b/>
                <w:sz w:val="22"/>
                <w:szCs w:val="22"/>
                <w:highlight w:val="yellow"/>
              </w:rPr>
            </w:pPr>
            <w:r w:rsidRPr="00EB1D9E">
              <w:rPr>
                <w:b/>
                <w:sz w:val="22"/>
                <w:szCs w:val="22"/>
                <w:highlight w:val="yellow"/>
              </w:rPr>
              <w:t>Evaluation of the back-up function:</w:t>
            </w:r>
          </w:p>
          <w:p w14:paraId="5F7A5E2D" w14:textId="77777777" w:rsidR="00317254" w:rsidRPr="00EB1D9E" w:rsidRDefault="00317254" w:rsidP="00317254">
            <w:pPr>
              <w:rPr>
                <w:b/>
                <w:sz w:val="22"/>
                <w:szCs w:val="22"/>
                <w:highlight w:val="yellow"/>
              </w:rPr>
            </w:pPr>
          </w:p>
          <w:p w14:paraId="747BCD05" w14:textId="77777777" w:rsidR="00317254" w:rsidRPr="00EB1D9E" w:rsidRDefault="00317254" w:rsidP="00EB1D9E">
            <w:pPr>
              <w:jc w:val="both"/>
              <w:rPr>
                <w:sz w:val="22"/>
                <w:szCs w:val="22"/>
                <w:highlight w:val="yellow"/>
              </w:rPr>
            </w:pPr>
            <w:r w:rsidRPr="00EB1D9E">
              <w:rPr>
                <w:sz w:val="22"/>
                <w:szCs w:val="22"/>
                <w:highlight w:val="yellow"/>
              </w:rPr>
              <w:t xml:space="preserve">The tenderer shall give a description of the support facilities (back-stopping) that they will provide to their team of experts during the implementation of the contract.  </w:t>
            </w:r>
          </w:p>
          <w:p w14:paraId="4C752F81" w14:textId="77777777" w:rsidR="00317254" w:rsidRPr="00EB1D9E" w:rsidRDefault="00317254" w:rsidP="00EB1D9E">
            <w:pPr>
              <w:jc w:val="both"/>
              <w:rPr>
                <w:sz w:val="22"/>
                <w:szCs w:val="22"/>
                <w:highlight w:val="yellow"/>
              </w:rPr>
            </w:pPr>
          </w:p>
          <w:p w14:paraId="46AC36EA" w14:textId="77777777" w:rsidR="00317254" w:rsidRPr="00EB1D9E" w:rsidRDefault="00317254" w:rsidP="00317254">
            <w:pPr>
              <w:rPr>
                <w:b/>
                <w:sz w:val="22"/>
                <w:szCs w:val="22"/>
                <w:highlight w:val="yellow"/>
              </w:rPr>
            </w:pPr>
            <w:r w:rsidRPr="00EB1D9E">
              <w:rPr>
                <w:b/>
                <w:sz w:val="22"/>
                <w:szCs w:val="22"/>
                <w:highlight w:val="yellow"/>
              </w:rPr>
              <w:t>Evaluation of experts:</w:t>
            </w:r>
          </w:p>
          <w:p w14:paraId="57C37AAF" w14:textId="77777777" w:rsidR="00317254" w:rsidRPr="00EB1D9E" w:rsidRDefault="00317254" w:rsidP="00317254">
            <w:pPr>
              <w:rPr>
                <w:sz w:val="22"/>
                <w:szCs w:val="22"/>
                <w:highlight w:val="yellow"/>
              </w:rPr>
            </w:pPr>
          </w:p>
          <w:p w14:paraId="014676F3" w14:textId="77777777" w:rsidR="00317254" w:rsidRPr="00EB1D9E" w:rsidRDefault="00317254" w:rsidP="00317254">
            <w:pPr>
              <w:pStyle w:val="Style11ptJustifiedAfter12pt"/>
              <w:rPr>
                <w:highlight w:val="yellow"/>
              </w:rPr>
            </w:pPr>
            <w:r w:rsidRPr="00EB1D9E">
              <w:rPr>
                <w:szCs w:val="22"/>
                <w:highlight w:val="yellow"/>
              </w:rPr>
              <w:t>Key-experts should be scored against the requirements stated in the Terms of Reference, through CVs and other proofs</w:t>
            </w:r>
            <w:r w:rsidRPr="00EB1D9E">
              <w:rPr>
                <w:highlight w:val="yellow"/>
              </w:rPr>
              <w:t xml:space="preserve">. </w:t>
            </w:r>
          </w:p>
          <w:p w14:paraId="074E06EC" w14:textId="77777777" w:rsidR="00317254" w:rsidRPr="00EB1D9E" w:rsidRDefault="00317254" w:rsidP="00EB1D9E">
            <w:pPr>
              <w:jc w:val="both"/>
              <w:rPr>
                <w:sz w:val="22"/>
                <w:szCs w:val="22"/>
                <w:highlight w:val="yellow"/>
              </w:rPr>
            </w:pPr>
            <w:r w:rsidRPr="00EB1D9E">
              <w:rPr>
                <w:sz w:val="22"/>
                <w:szCs w:val="22"/>
                <w:highlight w:val="yellow"/>
              </w:rPr>
              <w:t xml:space="preserve">The key experts must fulfil the </w:t>
            </w:r>
            <w:proofErr w:type="gramStart"/>
            <w:r w:rsidRPr="00EB1D9E">
              <w:rPr>
                <w:sz w:val="22"/>
                <w:szCs w:val="22"/>
                <w:highlight w:val="yellow"/>
              </w:rPr>
              <w:t>minimum  requirement</w:t>
            </w:r>
            <w:proofErr w:type="gramEnd"/>
            <w:r w:rsidRPr="00EB1D9E">
              <w:rPr>
                <w:sz w:val="22"/>
                <w:szCs w:val="22"/>
                <w:highlight w:val="yellow"/>
              </w:rPr>
              <w:t xml:space="preserve"> for all of the criteria. If any of the key experts do not fulfil the minimum requirements in any criterion the offer should be rejected.  </w:t>
            </w:r>
            <w:r w:rsidRPr="00EB1D9E">
              <w:rPr>
                <w:sz w:val="22"/>
                <w:highlight w:val="yellow"/>
              </w:rPr>
              <w:t xml:space="preserve">For the non-key </w:t>
            </w:r>
            <w:proofErr w:type="gramStart"/>
            <w:r w:rsidRPr="00EB1D9E">
              <w:rPr>
                <w:sz w:val="22"/>
                <w:highlight w:val="yellow"/>
              </w:rPr>
              <w:t>experts</w:t>
            </w:r>
            <w:proofErr w:type="gramEnd"/>
            <w:r w:rsidRPr="00EB1D9E">
              <w:rPr>
                <w:sz w:val="22"/>
                <w:highlight w:val="yellow"/>
              </w:rPr>
              <w:t xml:space="preserve"> the only aspect to be considered is whether the number of working days estimated for each month for each type of expert proposed in the Organisation and Methodology are sufficient for the requirements of the Terms of Reference to be achieved. This is judged on the basis of the profiles identified in the Terms of Reference and/or the Organisation and Methodology.</w:t>
            </w:r>
          </w:p>
        </w:tc>
      </w:tr>
    </w:tbl>
    <w:p w14:paraId="6DE7619E" w14:textId="77777777" w:rsidR="002A1564" w:rsidRDefault="002A1564" w:rsidP="00430315">
      <w:pPr>
        <w:rPr>
          <w:sz w:val="22"/>
          <w:szCs w:val="22"/>
        </w:rPr>
      </w:pPr>
    </w:p>
    <w:p w14:paraId="6098D8B1" w14:textId="77777777" w:rsidR="00775A4B" w:rsidRDefault="00775A4B" w:rsidP="00430315">
      <w:pPr>
        <w:rPr>
          <w:sz w:val="22"/>
          <w:szCs w:val="22"/>
        </w:rPr>
      </w:pPr>
    </w:p>
    <w:p w14:paraId="62BDE686" w14:textId="77777777" w:rsidR="00317254" w:rsidRPr="00430315" w:rsidRDefault="00317254" w:rsidP="00430315">
      <w:pPr>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30"/>
        <w:gridCol w:w="1417"/>
        <w:gridCol w:w="1693"/>
      </w:tblGrid>
      <w:tr w:rsidR="00317254" w:rsidRPr="00430315" w14:paraId="0E69C6F0" w14:textId="77777777" w:rsidTr="002C45C5">
        <w:trPr>
          <w:cantSplit/>
          <w:jc w:val="center"/>
        </w:trPr>
        <w:tc>
          <w:tcPr>
            <w:tcW w:w="5030" w:type="dxa"/>
          </w:tcPr>
          <w:p w14:paraId="2A4195EC" w14:textId="77777777" w:rsidR="00317254" w:rsidRPr="00430315" w:rsidRDefault="00317254" w:rsidP="00430315">
            <w:pPr>
              <w:rPr>
                <w:b/>
                <w:sz w:val="22"/>
                <w:szCs w:val="22"/>
              </w:rPr>
            </w:pPr>
          </w:p>
        </w:tc>
        <w:tc>
          <w:tcPr>
            <w:tcW w:w="1417" w:type="dxa"/>
            <w:shd w:val="clear" w:color="auto" w:fill="auto"/>
          </w:tcPr>
          <w:p w14:paraId="31214026" w14:textId="77777777" w:rsidR="00317254" w:rsidRPr="00430315" w:rsidRDefault="00317254" w:rsidP="00430315">
            <w:pPr>
              <w:jc w:val="center"/>
              <w:rPr>
                <w:b/>
                <w:sz w:val="22"/>
                <w:szCs w:val="22"/>
              </w:rPr>
            </w:pPr>
            <w:r w:rsidRPr="00430315">
              <w:rPr>
                <w:b/>
                <w:sz w:val="22"/>
                <w:szCs w:val="22"/>
              </w:rPr>
              <w:t xml:space="preserve">Maximum </w:t>
            </w:r>
          </w:p>
        </w:tc>
        <w:tc>
          <w:tcPr>
            <w:tcW w:w="1693" w:type="dxa"/>
          </w:tcPr>
          <w:p w14:paraId="63A6BB3C" w14:textId="77777777" w:rsidR="00317254" w:rsidRPr="00430315" w:rsidRDefault="00317254" w:rsidP="00430315">
            <w:pPr>
              <w:jc w:val="center"/>
              <w:rPr>
                <w:b/>
                <w:sz w:val="22"/>
                <w:szCs w:val="22"/>
              </w:rPr>
            </w:pPr>
            <w:r>
              <w:rPr>
                <w:b/>
                <w:sz w:val="22"/>
                <w:szCs w:val="22"/>
              </w:rPr>
              <w:t>Score awarded</w:t>
            </w:r>
          </w:p>
        </w:tc>
      </w:tr>
      <w:tr w:rsidR="00317254" w:rsidRPr="00430315" w14:paraId="7BFE6C3F" w14:textId="77777777" w:rsidTr="002C45C5">
        <w:trPr>
          <w:cantSplit/>
          <w:jc w:val="center"/>
        </w:trPr>
        <w:tc>
          <w:tcPr>
            <w:tcW w:w="5030" w:type="dxa"/>
            <w:shd w:val="clear" w:color="auto" w:fill="auto"/>
          </w:tcPr>
          <w:p w14:paraId="0B01AC5F" w14:textId="77777777" w:rsidR="00317254" w:rsidRPr="00430315" w:rsidRDefault="00317254" w:rsidP="00430315">
            <w:pPr>
              <w:rPr>
                <w:b/>
                <w:sz w:val="22"/>
                <w:szCs w:val="22"/>
              </w:rPr>
            </w:pPr>
            <w:r w:rsidRPr="00430315">
              <w:rPr>
                <w:b/>
                <w:sz w:val="22"/>
                <w:szCs w:val="22"/>
              </w:rPr>
              <w:t>Organisation and methodology</w:t>
            </w:r>
          </w:p>
        </w:tc>
        <w:tc>
          <w:tcPr>
            <w:tcW w:w="1417" w:type="dxa"/>
            <w:shd w:val="clear" w:color="auto" w:fill="auto"/>
          </w:tcPr>
          <w:p w14:paraId="5A3E816A" w14:textId="77777777" w:rsidR="00317254" w:rsidRPr="00430315" w:rsidRDefault="00317254" w:rsidP="00430315">
            <w:pPr>
              <w:jc w:val="center"/>
              <w:rPr>
                <w:b/>
                <w:sz w:val="22"/>
                <w:szCs w:val="22"/>
              </w:rPr>
            </w:pPr>
          </w:p>
        </w:tc>
        <w:tc>
          <w:tcPr>
            <w:tcW w:w="1693" w:type="dxa"/>
          </w:tcPr>
          <w:p w14:paraId="2AF7B599" w14:textId="77777777" w:rsidR="00317254" w:rsidRPr="00430315" w:rsidRDefault="00317254" w:rsidP="00430315">
            <w:pPr>
              <w:jc w:val="center"/>
              <w:rPr>
                <w:b/>
                <w:sz w:val="22"/>
                <w:szCs w:val="22"/>
              </w:rPr>
            </w:pPr>
          </w:p>
        </w:tc>
      </w:tr>
      <w:tr w:rsidR="00317254" w:rsidRPr="00430315" w14:paraId="47D5A3E9" w14:textId="77777777" w:rsidTr="002C45C5">
        <w:trPr>
          <w:cantSplit/>
          <w:jc w:val="center"/>
        </w:trPr>
        <w:tc>
          <w:tcPr>
            <w:tcW w:w="5030" w:type="dxa"/>
          </w:tcPr>
          <w:p w14:paraId="6A8B9988" w14:textId="77777777" w:rsidR="00317254" w:rsidRPr="00430315" w:rsidRDefault="00317254" w:rsidP="00430315">
            <w:pPr>
              <w:rPr>
                <w:sz w:val="22"/>
                <w:szCs w:val="22"/>
              </w:rPr>
            </w:pPr>
          </w:p>
        </w:tc>
        <w:tc>
          <w:tcPr>
            <w:tcW w:w="1417" w:type="dxa"/>
          </w:tcPr>
          <w:p w14:paraId="088DDEEF" w14:textId="77777777" w:rsidR="00317254" w:rsidRPr="00430315" w:rsidRDefault="00317254" w:rsidP="00430315">
            <w:pPr>
              <w:jc w:val="center"/>
              <w:rPr>
                <w:sz w:val="22"/>
                <w:szCs w:val="22"/>
              </w:rPr>
            </w:pPr>
          </w:p>
        </w:tc>
        <w:tc>
          <w:tcPr>
            <w:tcW w:w="1693" w:type="dxa"/>
          </w:tcPr>
          <w:p w14:paraId="45AE3936" w14:textId="77777777" w:rsidR="00317254" w:rsidRPr="00430315" w:rsidRDefault="00317254" w:rsidP="00430315">
            <w:pPr>
              <w:jc w:val="center"/>
              <w:rPr>
                <w:sz w:val="22"/>
                <w:szCs w:val="22"/>
              </w:rPr>
            </w:pPr>
          </w:p>
        </w:tc>
      </w:tr>
      <w:tr w:rsidR="00317254" w:rsidRPr="00430315" w14:paraId="5B7DACAC" w14:textId="77777777" w:rsidTr="002C45C5">
        <w:trPr>
          <w:cantSplit/>
          <w:jc w:val="center"/>
        </w:trPr>
        <w:tc>
          <w:tcPr>
            <w:tcW w:w="5030" w:type="dxa"/>
          </w:tcPr>
          <w:p w14:paraId="69FDEC92" w14:textId="77777777" w:rsidR="00317254" w:rsidRPr="00430315" w:rsidRDefault="00317254" w:rsidP="00430315">
            <w:pPr>
              <w:rPr>
                <w:sz w:val="22"/>
                <w:szCs w:val="22"/>
              </w:rPr>
            </w:pPr>
            <w:r w:rsidRPr="00430315">
              <w:rPr>
                <w:sz w:val="22"/>
                <w:szCs w:val="22"/>
              </w:rPr>
              <w:t>Rationale</w:t>
            </w:r>
          </w:p>
        </w:tc>
        <w:tc>
          <w:tcPr>
            <w:tcW w:w="1417" w:type="dxa"/>
          </w:tcPr>
          <w:p w14:paraId="4D698F74" w14:textId="77777777" w:rsidR="00317254" w:rsidRPr="00694FDA" w:rsidRDefault="00317254" w:rsidP="00430315">
            <w:pPr>
              <w:jc w:val="center"/>
              <w:rPr>
                <w:sz w:val="22"/>
                <w:szCs w:val="22"/>
                <w:highlight w:val="lightGray"/>
              </w:rPr>
            </w:pPr>
            <w:r w:rsidRPr="00694FDA">
              <w:rPr>
                <w:sz w:val="22"/>
                <w:szCs w:val="22"/>
                <w:highlight w:val="lightGray"/>
              </w:rPr>
              <w:t>[</w:t>
            </w:r>
            <w:r>
              <w:rPr>
                <w:sz w:val="22"/>
                <w:szCs w:val="22"/>
                <w:highlight w:val="lightGray"/>
              </w:rPr>
              <w:t>points</w:t>
            </w:r>
            <w:r w:rsidRPr="00694FDA">
              <w:rPr>
                <w:sz w:val="22"/>
                <w:szCs w:val="22"/>
                <w:highlight w:val="lightGray"/>
              </w:rPr>
              <w:t>]</w:t>
            </w:r>
            <w:r>
              <w:rPr>
                <w:sz w:val="22"/>
                <w:szCs w:val="22"/>
                <w:highlight w:val="lightGray"/>
              </w:rPr>
              <w:t xml:space="preserve"> </w:t>
            </w:r>
          </w:p>
        </w:tc>
        <w:tc>
          <w:tcPr>
            <w:tcW w:w="1693" w:type="dxa"/>
          </w:tcPr>
          <w:p w14:paraId="65B13CFD" w14:textId="77777777" w:rsidR="00317254" w:rsidRPr="00694FDA" w:rsidRDefault="00317254" w:rsidP="00430315">
            <w:pPr>
              <w:jc w:val="center"/>
              <w:rPr>
                <w:sz w:val="22"/>
                <w:szCs w:val="22"/>
                <w:highlight w:val="lightGray"/>
              </w:rPr>
            </w:pPr>
          </w:p>
        </w:tc>
      </w:tr>
      <w:tr w:rsidR="00317254" w:rsidRPr="00430315" w14:paraId="2D3486C1" w14:textId="77777777" w:rsidTr="002C45C5">
        <w:trPr>
          <w:cantSplit/>
          <w:jc w:val="center"/>
        </w:trPr>
        <w:tc>
          <w:tcPr>
            <w:tcW w:w="5030" w:type="dxa"/>
          </w:tcPr>
          <w:p w14:paraId="7F561880" w14:textId="77777777" w:rsidR="00317254" w:rsidRPr="00430315" w:rsidRDefault="00317254" w:rsidP="00775A4B">
            <w:pPr>
              <w:rPr>
                <w:sz w:val="22"/>
                <w:szCs w:val="22"/>
              </w:rPr>
            </w:pPr>
            <w:r w:rsidRPr="00430315">
              <w:rPr>
                <w:sz w:val="22"/>
                <w:szCs w:val="22"/>
              </w:rPr>
              <w:t>Strategy</w:t>
            </w:r>
          </w:p>
        </w:tc>
        <w:tc>
          <w:tcPr>
            <w:tcW w:w="1417" w:type="dxa"/>
          </w:tcPr>
          <w:p w14:paraId="24F6D46C" w14:textId="77777777" w:rsidR="00317254" w:rsidRPr="00694FDA" w:rsidRDefault="00317254" w:rsidP="00775A4B">
            <w:pPr>
              <w:jc w:val="center"/>
              <w:rPr>
                <w:sz w:val="22"/>
                <w:szCs w:val="22"/>
                <w:highlight w:val="lightGray"/>
              </w:rPr>
            </w:pPr>
            <w:r w:rsidRPr="00694FDA">
              <w:rPr>
                <w:sz w:val="22"/>
                <w:szCs w:val="22"/>
                <w:highlight w:val="lightGray"/>
              </w:rPr>
              <w:t>[</w:t>
            </w:r>
            <w:r>
              <w:rPr>
                <w:sz w:val="22"/>
                <w:szCs w:val="22"/>
                <w:highlight w:val="lightGray"/>
              </w:rPr>
              <w:t>points</w:t>
            </w:r>
            <w:r w:rsidRPr="00694FDA">
              <w:rPr>
                <w:sz w:val="22"/>
                <w:szCs w:val="22"/>
                <w:highlight w:val="lightGray"/>
              </w:rPr>
              <w:t>]</w:t>
            </w:r>
            <w:r>
              <w:rPr>
                <w:sz w:val="22"/>
                <w:szCs w:val="22"/>
                <w:highlight w:val="lightGray"/>
              </w:rPr>
              <w:t xml:space="preserve"> </w:t>
            </w:r>
          </w:p>
        </w:tc>
        <w:tc>
          <w:tcPr>
            <w:tcW w:w="1693" w:type="dxa"/>
          </w:tcPr>
          <w:p w14:paraId="2C3FF8B2" w14:textId="77777777" w:rsidR="00317254" w:rsidRPr="00694FDA" w:rsidRDefault="00317254" w:rsidP="00775A4B">
            <w:pPr>
              <w:jc w:val="center"/>
              <w:rPr>
                <w:sz w:val="22"/>
                <w:szCs w:val="22"/>
                <w:highlight w:val="lightGray"/>
              </w:rPr>
            </w:pPr>
          </w:p>
        </w:tc>
      </w:tr>
      <w:tr w:rsidR="00317254" w:rsidRPr="00430315" w14:paraId="2784ED0B" w14:textId="77777777" w:rsidTr="002C45C5">
        <w:trPr>
          <w:cantSplit/>
          <w:jc w:val="center"/>
        </w:trPr>
        <w:tc>
          <w:tcPr>
            <w:tcW w:w="5030" w:type="dxa"/>
          </w:tcPr>
          <w:p w14:paraId="53225588" w14:textId="77777777" w:rsidR="00317254" w:rsidRPr="00430315" w:rsidRDefault="00317254" w:rsidP="00775A4B">
            <w:pPr>
              <w:rPr>
                <w:sz w:val="22"/>
                <w:szCs w:val="22"/>
              </w:rPr>
            </w:pPr>
            <w:r>
              <w:rPr>
                <w:sz w:val="22"/>
                <w:szCs w:val="22"/>
              </w:rPr>
              <w:t xml:space="preserve">Back-up function </w:t>
            </w:r>
          </w:p>
        </w:tc>
        <w:tc>
          <w:tcPr>
            <w:tcW w:w="1417" w:type="dxa"/>
          </w:tcPr>
          <w:p w14:paraId="67381DD1" w14:textId="77777777" w:rsidR="00317254" w:rsidRPr="00694FDA" w:rsidRDefault="00317254" w:rsidP="00775A4B">
            <w:pPr>
              <w:jc w:val="center"/>
              <w:rPr>
                <w:sz w:val="22"/>
                <w:szCs w:val="22"/>
                <w:highlight w:val="lightGray"/>
              </w:rPr>
            </w:pPr>
            <w:r w:rsidRPr="00694FDA">
              <w:rPr>
                <w:sz w:val="22"/>
                <w:szCs w:val="22"/>
                <w:highlight w:val="lightGray"/>
              </w:rPr>
              <w:t>[</w:t>
            </w:r>
            <w:r>
              <w:rPr>
                <w:sz w:val="22"/>
                <w:szCs w:val="22"/>
                <w:highlight w:val="lightGray"/>
              </w:rPr>
              <w:t>points</w:t>
            </w:r>
            <w:r w:rsidRPr="00694FDA">
              <w:rPr>
                <w:sz w:val="22"/>
                <w:szCs w:val="22"/>
                <w:highlight w:val="lightGray"/>
              </w:rPr>
              <w:t>]</w:t>
            </w:r>
            <w:r>
              <w:rPr>
                <w:sz w:val="22"/>
                <w:szCs w:val="22"/>
                <w:highlight w:val="lightGray"/>
              </w:rPr>
              <w:t xml:space="preserve"> </w:t>
            </w:r>
          </w:p>
        </w:tc>
        <w:tc>
          <w:tcPr>
            <w:tcW w:w="1693" w:type="dxa"/>
          </w:tcPr>
          <w:p w14:paraId="6EDCCBD7" w14:textId="77777777" w:rsidR="00317254" w:rsidRPr="00694FDA" w:rsidRDefault="00317254" w:rsidP="00775A4B">
            <w:pPr>
              <w:jc w:val="center"/>
              <w:rPr>
                <w:sz w:val="22"/>
                <w:szCs w:val="22"/>
                <w:highlight w:val="lightGray"/>
              </w:rPr>
            </w:pPr>
          </w:p>
        </w:tc>
      </w:tr>
      <w:tr w:rsidR="00317254" w:rsidRPr="00430315" w14:paraId="113454A8" w14:textId="77777777" w:rsidTr="002C45C5">
        <w:trPr>
          <w:cantSplit/>
          <w:jc w:val="center"/>
        </w:trPr>
        <w:tc>
          <w:tcPr>
            <w:tcW w:w="5030" w:type="dxa"/>
          </w:tcPr>
          <w:p w14:paraId="0E4CCDB3" w14:textId="77777777" w:rsidR="00317254" w:rsidRPr="00430315" w:rsidRDefault="00317254" w:rsidP="00775A4B">
            <w:pPr>
              <w:rPr>
                <w:sz w:val="22"/>
                <w:szCs w:val="22"/>
              </w:rPr>
            </w:pPr>
            <w:r w:rsidRPr="00430315">
              <w:rPr>
                <w:sz w:val="22"/>
                <w:szCs w:val="22"/>
              </w:rPr>
              <w:t>Timetable of activities</w:t>
            </w:r>
          </w:p>
        </w:tc>
        <w:tc>
          <w:tcPr>
            <w:tcW w:w="1417" w:type="dxa"/>
          </w:tcPr>
          <w:p w14:paraId="337C0F9D" w14:textId="77777777" w:rsidR="00317254" w:rsidRPr="00694FDA" w:rsidRDefault="00317254" w:rsidP="00775A4B">
            <w:pPr>
              <w:jc w:val="center"/>
              <w:rPr>
                <w:sz w:val="22"/>
                <w:szCs w:val="22"/>
                <w:highlight w:val="lightGray"/>
              </w:rPr>
            </w:pPr>
            <w:r w:rsidRPr="00694FDA">
              <w:rPr>
                <w:sz w:val="22"/>
                <w:szCs w:val="22"/>
                <w:highlight w:val="lightGray"/>
              </w:rPr>
              <w:t>[</w:t>
            </w:r>
            <w:r>
              <w:rPr>
                <w:sz w:val="22"/>
                <w:szCs w:val="22"/>
                <w:highlight w:val="lightGray"/>
              </w:rPr>
              <w:t>points</w:t>
            </w:r>
            <w:r w:rsidRPr="00694FDA">
              <w:rPr>
                <w:sz w:val="22"/>
                <w:szCs w:val="22"/>
                <w:highlight w:val="lightGray"/>
              </w:rPr>
              <w:t>]</w:t>
            </w:r>
            <w:r>
              <w:rPr>
                <w:sz w:val="22"/>
                <w:szCs w:val="22"/>
                <w:highlight w:val="lightGray"/>
              </w:rPr>
              <w:t xml:space="preserve"> </w:t>
            </w:r>
          </w:p>
        </w:tc>
        <w:tc>
          <w:tcPr>
            <w:tcW w:w="1693" w:type="dxa"/>
          </w:tcPr>
          <w:p w14:paraId="396FCDBB" w14:textId="77777777" w:rsidR="00317254" w:rsidRPr="00694FDA" w:rsidRDefault="00317254" w:rsidP="00775A4B">
            <w:pPr>
              <w:jc w:val="center"/>
              <w:rPr>
                <w:sz w:val="22"/>
                <w:szCs w:val="22"/>
                <w:highlight w:val="lightGray"/>
              </w:rPr>
            </w:pPr>
          </w:p>
        </w:tc>
      </w:tr>
      <w:tr w:rsidR="00317254" w:rsidRPr="00430315" w14:paraId="5AFA2D0D" w14:textId="77777777" w:rsidTr="002C45C5">
        <w:trPr>
          <w:cantSplit/>
          <w:jc w:val="center"/>
        </w:trPr>
        <w:tc>
          <w:tcPr>
            <w:tcW w:w="5030" w:type="dxa"/>
          </w:tcPr>
          <w:p w14:paraId="1FA05CB7" w14:textId="77777777" w:rsidR="00317254" w:rsidRPr="00430315" w:rsidRDefault="00317254" w:rsidP="00430315">
            <w:pPr>
              <w:rPr>
                <w:sz w:val="22"/>
                <w:szCs w:val="22"/>
              </w:rPr>
            </w:pPr>
          </w:p>
        </w:tc>
        <w:tc>
          <w:tcPr>
            <w:tcW w:w="1417" w:type="dxa"/>
          </w:tcPr>
          <w:p w14:paraId="6611AE59" w14:textId="77777777" w:rsidR="00317254" w:rsidRPr="00430315" w:rsidRDefault="00317254" w:rsidP="00430315">
            <w:pPr>
              <w:jc w:val="center"/>
              <w:rPr>
                <w:b/>
                <w:sz w:val="22"/>
                <w:szCs w:val="22"/>
              </w:rPr>
            </w:pPr>
          </w:p>
        </w:tc>
        <w:tc>
          <w:tcPr>
            <w:tcW w:w="1693" w:type="dxa"/>
          </w:tcPr>
          <w:p w14:paraId="4F5A6C51" w14:textId="77777777" w:rsidR="00317254" w:rsidRPr="00430315" w:rsidRDefault="00317254" w:rsidP="00430315">
            <w:pPr>
              <w:jc w:val="center"/>
              <w:rPr>
                <w:b/>
                <w:sz w:val="22"/>
                <w:szCs w:val="22"/>
              </w:rPr>
            </w:pPr>
          </w:p>
        </w:tc>
      </w:tr>
      <w:tr w:rsidR="00317254" w:rsidRPr="00430315" w14:paraId="05BE4A12" w14:textId="77777777" w:rsidTr="002C45C5">
        <w:trPr>
          <w:cantSplit/>
          <w:jc w:val="center"/>
        </w:trPr>
        <w:tc>
          <w:tcPr>
            <w:tcW w:w="5030" w:type="dxa"/>
            <w:shd w:val="clear" w:color="auto" w:fill="auto"/>
          </w:tcPr>
          <w:p w14:paraId="4A9F2C74" w14:textId="74F81940" w:rsidR="00317254" w:rsidRPr="00430315" w:rsidRDefault="00317254" w:rsidP="00775A4B">
            <w:pPr>
              <w:rPr>
                <w:b/>
                <w:sz w:val="22"/>
                <w:szCs w:val="22"/>
              </w:rPr>
            </w:pPr>
            <w:r w:rsidRPr="00430315">
              <w:rPr>
                <w:b/>
                <w:sz w:val="22"/>
                <w:szCs w:val="22"/>
              </w:rPr>
              <w:t>Total score for Organisation and methodology</w:t>
            </w:r>
          </w:p>
        </w:tc>
        <w:tc>
          <w:tcPr>
            <w:tcW w:w="1417" w:type="dxa"/>
            <w:shd w:val="clear" w:color="auto" w:fill="auto"/>
          </w:tcPr>
          <w:p w14:paraId="57794B16" w14:textId="6CEDAE66" w:rsidR="00317254" w:rsidRPr="00430315" w:rsidRDefault="00317254" w:rsidP="00775A4B">
            <w:pPr>
              <w:jc w:val="center"/>
              <w:rPr>
                <w:b/>
                <w:sz w:val="22"/>
                <w:szCs w:val="22"/>
              </w:rPr>
            </w:pPr>
            <w:r w:rsidRPr="00694FDA">
              <w:rPr>
                <w:sz w:val="22"/>
                <w:szCs w:val="22"/>
                <w:highlight w:val="lightGray"/>
              </w:rPr>
              <w:t>[</w:t>
            </w:r>
            <w:r>
              <w:rPr>
                <w:sz w:val="22"/>
                <w:szCs w:val="22"/>
                <w:highlight w:val="lightGray"/>
              </w:rPr>
              <w:t>points</w:t>
            </w:r>
            <w:r w:rsidRPr="00694FDA">
              <w:rPr>
                <w:sz w:val="22"/>
                <w:szCs w:val="22"/>
                <w:highlight w:val="lightGray"/>
              </w:rPr>
              <w:t>]</w:t>
            </w:r>
            <w:r>
              <w:rPr>
                <w:sz w:val="22"/>
                <w:szCs w:val="22"/>
                <w:highlight w:val="lightGray"/>
              </w:rPr>
              <w:t xml:space="preserve"> </w:t>
            </w:r>
          </w:p>
        </w:tc>
        <w:tc>
          <w:tcPr>
            <w:tcW w:w="1693" w:type="dxa"/>
          </w:tcPr>
          <w:p w14:paraId="634268E0" w14:textId="77777777" w:rsidR="00317254" w:rsidRPr="00694FDA" w:rsidRDefault="00317254" w:rsidP="00775A4B">
            <w:pPr>
              <w:jc w:val="center"/>
              <w:rPr>
                <w:sz w:val="22"/>
                <w:szCs w:val="22"/>
                <w:highlight w:val="lightGray"/>
              </w:rPr>
            </w:pPr>
          </w:p>
        </w:tc>
      </w:tr>
      <w:tr w:rsidR="00317254" w:rsidRPr="00430315" w14:paraId="673D96F5" w14:textId="77777777" w:rsidTr="002C45C5">
        <w:trPr>
          <w:cantSplit/>
          <w:jc w:val="center"/>
        </w:trPr>
        <w:tc>
          <w:tcPr>
            <w:tcW w:w="5030" w:type="dxa"/>
            <w:shd w:val="clear" w:color="auto" w:fill="auto"/>
          </w:tcPr>
          <w:p w14:paraId="702C4F35" w14:textId="77777777" w:rsidR="00317254" w:rsidRPr="00430315" w:rsidRDefault="00317254" w:rsidP="00775A4B">
            <w:pPr>
              <w:rPr>
                <w:b/>
                <w:sz w:val="22"/>
                <w:szCs w:val="22"/>
              </w:rPr>
            </w:pPr>
          </w:p>
        </w:tc>
        <w:tc>
          <w:tcPr>
            <w:tcW w:w="1417" w:type="dxa"/>
            <w:shd w:val="clear" w:color="auto" w:fill="auto"/>
          </w:tcPr>
          <w:p w14:paraId="6EE786B5" w14:textId="77777777" w:rsidR="00317254" w:rsidRPr="00694FDA" w:rsidRDefault="00317254" w:rsidP="00775A4B">
            <w:pPr>
              <w:jc w:val="center"/>
              <w:rPr>
                <w:sz w:val="22"/>
                <w:szCs w:val="22"/>
                <w:highlight w:val="lightGray"/>
              </w:rPr>
            </w:pPr>
          </w:p>
        </w:tc>
        <w:tc>
          <w:tcPr>
            <w:tcW w:w="1693" w:type="dxa"/>
          </w:tcPr>
          <w:p w14:paraId="4327C1AB" w14:textId="77777777" w:rsidR="00317254" w:rsidRPr="00694FDA" w:rsidRDefault="00317254" w:rsidP="00775A4B">
            <w:pPr>
              <w:jc w:val="center"/>
              <w:rPr>
                <w:sz w:val="22"/>
                <w:szCs w:val="22"/>
                <w:highlight w:val="lightGray"/>
              </w:rPr>
            </w:pPr>
          </w:p>
        </w:tc>
      </w:tr>
      <w:tr w:rsidR="00317254" w:rsidRPr="00AE6AD4" w14:paraId="1B198789"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40D52D0A" w14:textId="77777777" w:rsidR="00317254" w:rsidRPr="00430315" w:rsidRDefault="00317254" w:rsidP="00EB1D9E">
            <w:pPr>
              <w:rPr>
                <w:b/>
                <w:sz w:val="22"/>
                <w:szCs w:val="22"/>
              </w:rPr>
            </w:pPr>
            <w:r w:rsidRPr="00430315">
              <w:rPr>
                <w:b/>
                <w:sz w:val="22"/>
                <w:szCs w:val="22"/>
              </w:rPr>
              <w:t>Key experts</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D2DB206" w14:textId="77777777" w:rsidR="00317254" w:rsidRPr="00775A4B" w:rsidRDefault="00317254" w:rsidP="00EB1D9E">
            <w:pPr>
              <w:jc w:val="center"/>
              <w:rPr>
                <w:sz w:val="22"/>
                <w:szCs w:val="22"/>
                <w:highlight w:val="lightGray"/>
              </w:rPr>
            </w:pPr>
          </w:p>
        </w:tc>
        <w:tc>
          <w:tcPr>
            <w:tcW w:w="1693" w:type="dxa"/>
            <w:tcBorders>
              <w:top w:val="single" w:sz="4" w:space="0" w:color="auto"/>
              <w:left w:val="single" w:sz="4" w:space="0" w:color="auto"/>
              <w:bottom w:val="single" w:sz="4" w:space="0" w:color="auto"/>
              <w:right w:val="single" w:sz="4" w:space="0" w:color="auto"/>
            </w:tcBorders>
          </w:tcPr>
          <w:p w14:paraId="6D135E67" w14:textId="77777777" w:rsidR="00317254" w:rsidRPr="00775A4B" w:rsidRDefault="00317254" w:rsidP="00EB1D9E">
            <w:pPr>
              <w:jc w:val="center"/>
              <w:rPr>
                <w:sz w:val="22"/>
                <w:szCs w:val="22"/>
                <w:highlight w:val="lightGray"/>
              </w:rPr>
            </w:pPr>
          </w:p>
        </w:tc>
      </w:tr>
      <w:tr w:rsidR="00317254" w:rsidRPr="00AE6AD4" w14:paraId="1BF89557"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3D715ED2" w14:textId="77777777" w:rsidR="00317254" w:rsidRPr="00775A4B" w:rsidRDefault="00317254" w:rsidP="00EB1D9E">
            <w:pPr>
              <w:rPr>
                <w:b/>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14F8624" w14:textId="77777777" w:rsidR="00317254" w:rsidRPr="00AE6AD4" w:rsidRDefault="00317254" w:rsidP="00EB1D9E">
            <w:pPr>
              <w:jc w:val="center"/>
              <w:rPr>
                <w:sz w:val="22"/>
                <w:szCs w:val="22"/>
                <w:highlight w:val="lightGray"/>
              </w:rPr>
            </w:pPr>
          </w:p>
        </w:tc>
        <w:tc>
          <w:tcPr>
            <w:tcW w:w="1693" w:type="dxa"/>
            <w:tcBorders>
              <w:top w:val="single" w:sz="4" w:space="0" w:color="auto"/>
              <w:left w:val="single" w:sz="4" w:space="0" w:color="auto"/>
              <w:bottom w:val="single" w:sz="4" w:space="0" w:color="auto"/>
              <w:right w:val="single" w:sz="4" w:space="0" w:color="auto"/>
            </w:tcBorders>
          </w:tcPr>
          <w:p w14:paraId="22D9E37A" w14:textId="77777777" w:rsidR="00317254" w:rsidRPr="00AE6AD4" w:rsidRDefault="00317254" w:rsidP="00EB1D9E">
            <w:pPr>
              <w:jc w:val="center"/>
              <w:rPr>
                <w:sz w:val="22"/>
                <w:szCs w:val="22"/>
                <w:highlight w:val="lightGray"/>
              </w:rPr>
            </w:pPr>
          </w:p>
        </w:tc>
      </w:tr>
      <w:tr w:rsidR="00317254" w:rsidRPr="00AE6AD4" w14:paraId="3B7DF06D"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2A85F22A" w14:textId="77777777" w:rsidR="00317254" w:rsidRPr="00430315" w:rsidRDefault="00317254" w:rsidP="00EB1D9E">
            <w:pPr>
              <w:rPr>
                <w:b/>
                <w:sz w:val="22"/>
                <w:szCs w:val="22"/>
              </w:rPr>
            </w:pPr>
            <w:r w:rsidRPr="00430315">
              <w:rPr>
                <w:b/>
                <w:sz w:val="22"/>
                <w:szCs w:val="22"/>
              </w:rPr>
              <w:t>&lt;</w:t>
            </w:r>
            <w:r w:rsidRPr="00775A4B">
              <w:rPr>
                <w:b/>
                <w:sz w:val="22"/>
                <w:szCs w:val="22"/>
              </w:rPr>
              <w:t>Key expert 1</w:t>
            </w:r>
            <w:r w:rsidRPr="00430315">
              <w:rPr>
                <w:b/>
                <w:sz w:val="22"/>
                <w:szCs w:val="22"/>
              </w:rPr>
              <w:t xml:space="preserve">&gt; (Max </w:t>
            </w:r>
            <w:r>
              <w:rPr>
                <w:b/>
                <w:sz w:val="22"/>
                <w:szCs w:val="22"/>
              </w:rPr>
              <w:t xml:space="preserve">&lt;x&gt; </w:t>
            </w:r>
            <w:r w:rsidRPr="00430315">
              <w:rPr>
                <w:b/>
                <w:sz w:val="22"/>
                <w:szCs w:val="22"/>
              </w:rPr>
              <w:t>points)</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FA7FAA4" w14:textId="77777777" w:rsidR="00317254" w:rsidRPr="00775A4B" w:rsidRDefault="00317254" w:rsidP="00EB1D9E">
            <w:pPr>
              <w:jc w:val="center"/>
              <w:rPr>
                <w:sz w:val="22"/>
                <w:szCs w:val="22"/>
                <w:highlight w:val="lightGray"/>
              </w:rPr>
            </w:pPr>
          </w:p>
        </w:tc>
        <w:tc>
          <w:tcPr>
            <w:tcW w:w="1693" w:type="dxa"/>
            <w:tcBorders>
              <w:top w:val="single" w:sz="4" w:space="0" w:color="auto"/>
              <w:left w:val="single" w:sz="4" w:space="0" w:color="auto"/>
              <w:bottom w:val="single" w:sz="4" w:space="0" w:color="auto"/>
              <w:right w:val="single" w:sz="4" w:space="0" w:color="auto"/>
            </w:tcBorders>
          </w:tcPr>
          <w:p w14:paraId="1A474710" w14:textId="77777777" w:rsidR="00317254" w:rsidRPr="00775A4B" w:rsidRDefault="00317254" w:rsidP="00EB1D9E">
            <w:pPr>
              <w:jc w:val="center"/>
              <w:rPr>
                <w:sz w:val="22"/>
                <w:szCs w:val="22"/>
                <w:highlight w:val="lightGray"/>
              </w:rPr>
            </w:pPr>
          </w:p>
        </w:tc>
      </w:tr>
      <w:tr w:rsidR="00317254" w:rsidRPr="00AE6AD4" w14:paraId="28FDBEE4"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697D679A" w14:textId="77777777" w:rsidR="00317254" w:rsidRPr="00775A4B" w:rsidRDefault="00317254" w:rsidP="00775A4B">
            <w:pPr>
              <w:rPr>
                <w:b/>
                <w:sz w:val="22"/>
                <w:szCs w:val="22"/>
              </w:rPr>
            </w:pPr>
            <w:r w:rsidRPr="00775A4B">
              <w:rPr>
                <w:b/>
                <w:sz w:val="22"/>
                <w:szCs w:val="22"/>
              </w:rPr>
              <w:t>[Qualifications and skills]</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AFC6F44" w14:textId="77777777" w:rsidR="00317254" w:rsidRPr="00AE6AD4" w:rsidRDefault="00317254" w:rsidP="00775A4B">
            <w:pPr>
              <w:jc w:val="center"/>
              <w:rPr>
                <w:sz w:val="22"/>
                <w:szCs w:val="22"/>
                <w:highlight w:val="lightGray"/>
              </w:rPr>
            </w:pPr>
            <w:r w:rsidRPr="00694FDA">
              <w:rPr>
                <w:sz w:val="22"/>
                <w:szCs w:val="22"/>
                <w:highlight w:val="lightGray"/>
              </w:rPr>
              <w:t>[</w:t>
            </w:r>
            <w:r>
              <w:rPr>
                <w:sz w:val="22"/>
                <w:szCs w:val="22"/>
                <w:highlight w:val="lightGray"/>
              </w:rPr>
              <w:t>points</w:t>
            </w:r>
            <w:r w:rsidRPr="00694FDA">
              <w:rPr>
                <w:sz w:val="22"/>
                <w:szCs w:val="22"/>
                <w:highlight w:val="lightGray"/>
              </w:rPr>
              <w:t>]</w:t>
            </w:r>
            <w:r>
              <w:rPr>
                <w:sz w:val="22"/>
                <w:szCs w:val="22"/>
                <w:highlight w:val="lightGray"/>
              </w:rPr>
              <w:t xml:space="preserve"> </w:t>
            </w:r>
          </w:p>
        </w:tc>
        <w:tc>
          <w:tcPr>
            <w:tcW w:w="1693" w:type="dxa"/>
            <w:tcBorders>
              <w:top w:val="single" w:sz="4" w:space="0" w:color="auto"/>
              <w:left w:val="single" w:sz="4" w:space="0" w:color="auto"/>
              <w:bottom w:val="single" w:sz="4" w:space="0" w:color="auto"/>
              <w:right w:val="single" w:sz="4" w:space="0" w:color="auto"/>
            </w:tcBorders>
          </w:tcPr>
          <w:p w14:paraId="114541E6" w14:textId="77777777" w:rsidR="00317254" w:rsidRPr="00694FDA" w:rsidRDefault="00317254" w:rsidP="00775A4B">
            <w:pPr>
              <w:jc w:val="center"/>
              <w:rPr>
                <w:sz w:val="22"/>
                <w:szCs w:val="22"/>
                <w:highlight w:val="lightGray"/>
              </w:rPr>
            </w:pPr>
          </w:p>
        </w:tc>
      </w:tr>
      <w:tr w:rsidR="00317254" w:rsidRPr="00AE6AD4" w14:paraId="4F593236"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2990FC5C" w14:textId="77777777" w:rsidR="00317254" w:rsidRPr="00775A4B" w:rsidRDefault="00317254" w:rsidP="00775A4B">
            <w:pPr>
              <w:rPr>
                <w:b/>
                <w:sz w:val="22"/>
                <w:szCs w:val="22"/>
              </w:rPr>
            </w:pPr>
            <w:r w:rsidRPr="00775A4B">
              <w:rPr>
                <w:b/>
                <w:sz w:val="22"/>
                <w:szCs w:val="22"/>
              </w:rPr>
              <w:t>[General professional experience]</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A2E0C7F" w14:textId="77777777" w:rsidR="00317254" w:rsidRPr="00AE6AD4" w:rsidRDefault="00317254" w:rsidP="00775A4B">
            <w:pPr>
              <w:jc w:val="center"/>
              <w:rPr>
                <w:sz w:val="22"/>
                <w:szCs w:val="22"/>
                <w:highlight w:val="lightGray"/>
              </w:rPr>
            </w:pPr>
            <w:r w:rsidRPr="00694FDA">
              <w:rPr>
                <w:sz w:val="22"/>
                <w:szCs w:val="22"/>
                <w:highlight w:val="lightGray"/>
              </w:rPr>
              <w:t>[</w:t>
            </w:r>
            <w:r>
              <w:rPr>
                <w:sz w:val="22"/>
                <w:szCs w:val="22"/>
                <w:highlight w:val="lightGray"/>
              </w:rPr>
              <w:t>points</w:t>
            </w:r>
            <w:r w:rsidRPr="00694FDA">
              <w:rPr>
                <w:sz w:val="22"/>
                <w:szCs w:val="22"/>
                <w:highlight w:val="lightGray"/>
              </w:rPr>
              <w:t>]</w:t>
            </w:r>
            <w:r>
              <w:rPr>
                <w:sz w:val="22"/>
                <w:szCs w:val="22"/>
                <w:highlight w:val="lightGray"/>
              </w:rPr>
              <w:t xml:space="preserve"> </w:t>
            </w:r>
          </w:p>
        </w:tc>
        <w:tc>
          <w:tcPr>
            <w:tcW w:w="1693" w:type="dxa"/>
            <w:tcBorders>
              <w:top w:val="single" w:sz="4" w:space="0" w:color="auto"/>
              <w:left w:val="single" w:sz="4" w:space="0" w:color="auto"/>
              <w:bottom w:val="single" w:sz="4" w:space="0" w:color="auto"/>
              <w:right w:val="single" w:sz="4" w:space="0" w:color="auto"/>
            </w:tcBorders>
          </w:tcPr>
          <w:p w14:paraId="13A22B06" w14:textId="77777777" w:rsidR="00317254" w:rsidRPr="00694FDA" w:rsidRDefault="00317254" w:rsidP="00775A4B">
            <w:pPr>
              <w:jc w:val="center"/>
              <w:rPr>
                <w:sz w:val="22"/>
                <w:szCs w:val="22"/>
                <w:highlight w:val="lightGray"/>
              </w:rPr>
            </w:pPr>
          </w:p>
        </w:tc>
      </w:tr>
      <w:tr w:rsidR="00317254" w:rsidRPr="00AE6AD4" w14:paraId="3CEECE1F"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2BE821D4" w14:textId="77777777" w:rsidR="00317254" w:rsidRPr="00775A4B" w:rsidRDefault="00317254" w:rsidP="00775A4B">
            <w:pPr>
              <w:rPr>
                <w:b/>
                <w:sz w:val="22"/>
                <w:szCs w:val="22"/>
              </w:rPr>
            </w:pPr>
            <w:r w:rsidRPr="00775A4B">
              <w:rPr>
                <w:b/>
                <w:sz w:val="22"/>
                <w:szCs w:val="22"/>
              </w:rPr>
              <w:t>[Specific professional experience]</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3667E30" w14:textId="77777777" w:rsidR="00317254" w:rsidRPr="00AE6AD4" w:rsidRDefault="00317254" w:rsidP="00775A4B">
            <w:pPr>
              <w:jc w:val="center"/>
              <w:rPr>
                <w:sz w:val="22"/>
                <w:szCs w:val="22"/>
                <w:highlight w:val="lightGray"/>
              </w:rPr>
            </w:pPr>
            <w:r w:rsidRPr="00694FDA">
              <w:rPr>
                <w:sz w:val="22"/>
                <w:szCs w:val="22"/>
                <w:highlight w:val="lightGray"/>
              </w:rPr>
              <w:t>[</w:t>
            </w:r>
            <w:r>
              <w:rPr>
                <w:sz w:val="22"/>
                <w:szCs w:val="22"/>
                <w:highlight w:val="lightGray"/>
              </w:rPr>
              <w:t>points</w:t>
            </w:r>
            <w:r w:rsidRPr="00694FDA">
              <w:rPr>
                <w:sz w:val="22"/>
                <w:szCs w:val="22"/>
                <w:highlight w:val="lightGray"/>
              </w:rPr>
              <w:t>]</w:t>
            </w:r>
            <w:r>
              <w:rPr>
                <w:sz w:val="22"/>
                <w:szCs w:val="22"/>
                <w:highlight w:val="lightGray"/>
              </w:rPr>
              <w:t xml:space="preserve"> </w:t>
            </w:r>
          </w:p>
        </w:tc>
        <w:tc>
          <w:tcPr>
            <w:tcW w:w="1693" w:type="dxa"/>
            <w:tcBorders>
              <w:top w:val="single" w:sz="4" w:space="0" w:color="auto"/>
              <w:left w:val="single" w:sz="4" w:space="0" w:color="auto"/>
              <w:bottom w:val="single" w:sz="4" w:space="0" w:color="auto"/>
              <w:right w:val="single" w:sz="4" w:space="0" w:color="auto"/>
            </w:tcBorders>
          </w:tcPr>
          <w:p w14:paraId="0E03A572" w14:textId="77777777" w:rsidR="00317254" w:rsidRPr="00694FDA" w:rsidRDefault="00317254" w:rsidP="00775A4B">
            <w:pPr>
              <w:jc w:val="center"/>
              <w:rPr>
                <w:sz w:val="22"/>
                <w:szCs w:val="22"/>
                <w:highlight w:val="lightGray"/>
              </w:rPr>
            </w:pPr>
          </w:p>
        </w:tc>
      </w:tr>
      <w:tr w:rsidR="00317254" w:rsidRPr="00AE6AD4" w14:paraId="7827F377"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30664E95" w14:textId="77777777" w:rsidR="00317254" w:rsidRPr="00430315" w:rsidRDefault="00317254" w:rsidP="00EB1D9E">
            <w:pPr>
              <w:rPr>
                <w:b/>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FE1835E" w14:textId="77777777" w:rsidR="00317254" w:rsidRPr="00775A4B" w:rsidRDefault="00317254" w:rsidP="00EB1D9E">
            <w:pPr>
              <w:jc w:val="center"/>
              <w:rPr>
                <w:sz w:val="22"/>
                <w:szCs w:val="22"/>
                <w:highlight w:val="lightGray"/>
              </w:rPr>
            </w:pPr>
          </w:p>
        </w:tc>
        <w:tc>
          <w:tcPr>
            <w:tcW w:w="1693" w:type="dxa"/>
            <w:tcBorders>
              <w:top w:val="single" w:sz="4" w:space="0" w:color="auto"/>
              <w:left w:val="single" w:sz="4" w:space="0" w:color="auto"/>
              <w:bottom w:val="single" w:sz="4" w:space="0" w:color="auto"/>
              <w:right w:val="single" w:sz="4" w:space="0" w:color="auto"/>
            </w:tcBorders>
          </w:tcPr>
          <w:p w14:paraId="697993CC" w14:textId="77777777" w:rsidR="00317254" w:rsidRPr="00775A4B" w:rsidRDefault="00317254" w:rsidP="00EB1D9E">
            <w:pPr>
              <w:jc w:val="center"/>
              <w:rPr>
                <w:sz w:val="22"/>
                <w:szCs w:val="22"/>
                <w:highlight w:val="lightGray"/>
              </w:rPr>
            </w:pPr>
          </w:p>
        </w:tc>
      </w:tr>
      <w:tr w:rsidR="00317254" w:rsidRPr="00AE6AD4" w14:paraId="1B446A3B"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2FB40DD3" w14:textId="77777777" w:rsidR="00317254" w:rsidRPr="00430315" w:rsidRDefault="00317254" w:rsidP="00775A4B">
            <w:pPr>
              <w:rPr>
                <w:b/>
                <w:sz w:val="22"/>
                <w:szCs w:val="22"/>
              </w:rPr>
            </w:pPr>
            <w:r w:rsidRPr="00430315">
              <w:rPr>
                <w:b/>
                <w:sz w:val="22"/>
                <w:szCs w:val="22"/>
              </w:rPr>
              <w:t>&lt;</w:t>
            </w:r>
            <w:r w:rsidRPr="00775A4B">
              <w:rPr>
                <w:b/>
                <w:sz w:val="22"/>
                <w:szCs w:val="22"/>
              </w:rPr>
              <w:t xml:space="preserve">Key expert </w:t>
            </w:r>
            <w:r>
              <w:rPr>
                <w:b/>
                <w:sz w:val="22"/>
                <w:szCs w:val="22"/>
              </w:rPr>
              <w:t>2</w:t>
            </w:r>
            <w:r w:rsidRPr="00430315">
              <w:rPr>
                <w:b/>
                <w:sz w:val="22"/>
                <w:szCs w:val="22"/>
              </w:rPr>
              <w:t xml:space="preserve">&gt; (Max </w:t>
            </w:r>
            <w:r>
              <w:rPr>
                <w:b/>
                <w:sz w:val="22"/>
                <w:szCs w:val="22"/>
              </w:rPr>
              <w:t xml:space="preserve">&lt;x&gt; </w:t>
            </w:r>
            <w:r w:rsidRPr="00430315">
              <w:rPr>
                <w:b/>
                <w:sz w:val="22"/>
                <w:szCs w:val="22"/>
              </w:rPr>
              <w:t>points)</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9831937" w14:textId="77777777" w:rsidR="00317254" w:rsidRPr="00775A4B" w:rsidRDefault="00317254" w:rsidP="00775A4B">
            <w:pPr>
              <w:jc w:val="center"/>
              <w:rPr>
                <w:sz w:val="22"/>
                <w:szCs w:val="22"/>
                <w:highlight w:val="lightGray"/>
              </w:rPr>
            </w:pPr>
          </w:p>
        </w:tc>
        <w:tc>
          <w:tcPr>
            <w:tcW w:w="1693" w:type="dxa"/>
            <w:tcBorders>
              <w:top w:val="single" w:sz="4" w:space="0" w:color="auto"/>
              <w:left w:val="single" w:sz="4" w:space="0" w:color="auto"/>
              <w:bottom w:val="single" w:sz="4" w:space="0" w:color="auto"/>
              <w:right w:val="single" w:sz="4" w:space="0" w:color="auto"/>
            </w:tcBorders>
          </w:tcPr>
          <w:p w14:paraId="256B2A59" w14:textId="77777777" w:rsidR="00317254" w:rsidRPr="00775A4B" w:rsidRDefault="00317254" w:rsidP="00775A4B">
            <w:pPr>
              <w:jc w:val="center"/>
              <w:rPr>
                <w:sz w:val="22"/>
                <w:szCs w:val="22"/>
                <w:highlight w:val="lightGray"/>
              </w:rPr>
            </w:pPr>
          </w:p>
        </w:tc>
      </w:tr>
      <w:tr w:rsidR="00317254" w:rsidRPr="00AE6AD4" w14:paraId="2A0C0B82"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2AAC215E" w14:textId="77777777" w:rsidR="00317254" w:rsidRPr="00775A4B" w:rsidRDefault="00317254" w:rsidP="00775A4B">
            <w:pPr>
              <w:rPr>
                <w:b/>
                <w:sz w:val="22"/>
                <w:szCs w:val="22"/>
              </w:rPr>
            </w:pPr>
            <w:r w:rsidRPr="00775A4B">
              <w:rPr>
                <w:b/>
                <w:sz w:val="22"/>
                <w:szCs w:val="22"/>
              </w:rPr>
              <w:t>[Qualifications and skills]</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888D503" w14:textId="77777777" w:rsidR="00317254" w:rsidRPr="00AE6AD4" w:rsidRDefault="00317254" w:rsidP="00775A4B">
            <w:pPr>
              <w:jc w:val="center"/>
              <w:rPr>
                <w:sz w:val="22"/>
                <w:szCs w:val="22"/>
                <w:highlight w:val="lightGray"/>
              </w:rPr>
            </w:pPr>
            <w:r w:rsidRPr="00694FDA">
              <w:rPr>
                <w:sz w:val="22"/>
                <w:szCs w:val="22"/>
                <w:highlight w:val="lightGray"/>
              </w:rPr>
              <w:t>[</w:t>
            </w:r>
            <w:r>
              <w:rPr>
                <w:sz w:val="22"/>
                <w:szCs w:val="22"/>
                <w:highlight w:val="lightGray"/>
              </w:rPr>
              <w:t>points</w:t>
            </w:r>
            <w:r w:rsidRPr="00694FDA">
              <w:rPr>
                <w:sz w:val="22"/>
                <w:szCs w:val="22"/>
                <w:highlight w:val="lightGray"/>
              </w:rPr>
              <w:t>]</w:t>
            </w:r>
            <w:r>
              <w:rPr>
                <w:sz w:val="22"/>
                <w:szCs w:val="22"/>
                <w:highlight w:val="lightGray"/>
              </w:rPr>
              <w:t xml:space="preserve"> </w:t>
            </w:r>
          </w:p>
        </w:tc>
        <w:tc>
          <w:tcPr>
            <w:tcW w:w="1693" w:type="dxa"/>
            <w:tcBorders>
              <w:top w:val="single" w:sz="4" w:space="0" w:color="auto"/>
              <w:left w:val="single" w:sz="4" w:space="0" w:color="auto"/>
              <w:bottom w:val="single" w:sz="4" w:space="0" w:color="auto"/>
              <w:right w:val="single" w:sz="4" w:space="0" w:color="auto"/>
            </w:tcBorders>
          </w:tcPr>
          <w:p w14:paraId="2460A0F8" w14:textId="77777777" w:rsidR="00317254" w:rsidRPr="00694FDA" w:rsidRDefault="00317254" w:rsidP="00775A4B">
            <w:pPr>
              <w:jc w:val="center"/>
              <w:rPr>
                <w:sz w:val="22"/>
                <w:szCs w:val="22"/>
                <w:highlight w:val="lightGray"/>
              </w:rPr>
            </w:pPr>
          </w:p>
        </w:tc>
      </w:tr>
      <w:tr w:rsidR="00317254" w:rsidRPr="00AE6AD4" w14:paraId="43408B87"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2B2243A8" w14:textId="77777777" w:rsidR="00317254" w:rsidRPr="00775A4B" w:rsidRDefault="00317254" w:rsidP="00775A4B">
            <w:pPr>
              <w:rPr>
                <w:b/>
                <w:sz w:val="22"/>
                <w:szCs w:val="22"/>
              </w:rPr>
            </w:pPr>
            <w:r w:rsidRPr="00775A4B">
              <w:rPr>
                <w:b/>
                <w:sz w:val="22"/>
                <w:szCs w:val="22"/>
              </w:rPr>
              <w:t>[General professional experience]</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C8A5E2B" w14:textId="77777777" w:rsidR="00317254" w:rsidRPr="00AE6AD4" w:rsidRDefault="00317254" w:rsidP="00775A4B">
            <w:pPr>
              <w:jc w:val="center"/>
              <w:rPr>
                <w:sz w:val="22"/>
                <w:szCs w:val="22"/>
                <w:highlight w:val="lightGray"/>
              </w:rPr>
            </w:pPr>
            <w:r w:rsidRPr="00694FDA">
              <w:rPr>
                <w:sz w:val="22"/>
                <w:szCs w:val="22"/>
                <w:highlight w:val="lightGray"/>
              </w:rPr>
              <w:t>[</w:t>
            </w:r>
            <w:r>
              <w:rPr>
                <w:sz w:val="22"/>
                <w:szCs w:val="22"/>
                <w:highlight w:val="lightGray"/>
              </w:rPr>
              <w:t>points</w:t>
            </w:r>
            <w:r w:rsidRPr="00694FDA">
              <w:rPr>
                <w:sz w:val="22"/>
                <w:szCs w:val="22"/>
                <w:highlight w:val="lightGray"/>
              </w:rPr>
              <w:t>]</w:t>
            </w:r>
            <w:r>
              <w:rPr>
                <w:sz w:val="22"/>
                <w:szCs w:val="22"/>
                <w:highlight w:val="lightGray"/>
              </w:rPr>
              <w:t xml:space="preserve"> </w:t>
            </w:r>
          </w:p>
        </w:tc>
        <w:tc>
          <w:tcPr>
            <w:tcW w:w="1693" w:type="dxa"/>
            <w:tcBorders>
              <w:top w:val="single" w:sz="4" w:space="0" w:color="auto"/>
              <w:left w:val="single" w:sz="4" w:space="0" w:color="auto"/>
              <w:bottom w:val="single" w:sz="4" w:space="0" w:color="auto"/>
              <w:right w:val="single" w:sz="4" w:space="0" w:color="auto"/>
            </w:tcBorders>
          </w:tcPr>
          <w:p w14:paraId="434B852B" w14:textId="77777777" w:rsidR="00317254" w:rsidRPr="00694FDA" w:rsidRDefault="00317254" w:rsidP="00775A4B">
            <w:pPr>
              <w:jc w:val="center"/>
              <w:rPr>
                <w:sz w:val="22"/>
                <w:szCs w:val="22"/>
                <w:highlight w:val="lightGray"/>
              </w:rPr>
            </w:pPr>
          </w:p>
        </w:tc>
      </w:tr>
      <w:tr w:rsidR="00317254" w:rsidRPr="00AE6AD4" w14:paraId="06C963A5"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1E3589C5" w14:textId="77777777" w:rsidR="00317254" w:rsidRPr="00775A4B" w:rsidRDefault="00317254" w:rsidP="00775A4B">
            <w:pPr>
              <w:rPr>
                <w:b/>
                <w:sz w:val="22"/>
                <w:szCs w:val="22"/>
              </w:rPr>
            </w:pPr>
            <w:r w:rsidRPr="00775A4B">
              <w:rPr>
                <w:b/>
                <w:sz w:val="22"/>
                <w:szCs w:val="22"/>
              </w:rPr>
              <w:t>[Specific professional experience]</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6F3083C" w14:textId="77777777" w:rsidR="00317254" w:rsidRPr="00AE6AD4" w:rsidRDefault="00317254" w:rsidP="00775A4B">
            <w:pPr>
              <w:jc w:val="center"/>
              <w:rPr>
                <w:sz w:val="22"/>
                <w:szCs w:val="22"/>
                <w:highlight w:val="lightGray"/>
              </w:rPr>
            </w:pPr>
            <w:r w:rsidRPr="00694FDA">
              <w:rPr>
                <w:sz w:val="22"/>
                <w:szCs w:val="22"/>
                <w:highlight w:val="lightGray"/>
              </w:rPr>
              <w:t>[</w:t>
            </w:r>
            <w:r>
              <w:rPr>
                <w:sz w:val="22"/>
                <w:szCs w:val="22"/>
                <w:highlight w:val="lightGray"/>
              </w:rPr>
              <w:t>points</w:t>
            </w:r>
            <w:r w:rsidRPr="00694FDA">
              <w:rPr>
                <w:sz w:val="22"/>
                <w:szCs w:val="22"/>
                <w:highlight w:val="lightGray"/>
              </w:rPr>
              <w:t>]</w:t>
            </w:r>
            <w:r>
              <w:rPr>
                <w:sz w:val="22"/>
                <w:szCs w:val="22"/>
                <w:highlight w:val="lightGray"/>
              </w:rPr>
              <w:t xml:space="preserve"> </w:t>
            </w:r>
          </w:p>
        </w:tc>
        <w:tc>
          <w:tcPr>
            <w:tcW w:w="1693" w:type="dxa"/>
            <w:tcBorders>
              <w:top w:val="single" w:sz="4" w:space="0" w:color="auto"/>
              <w:left w:val="single" w:sz="4" w:space="0" w:color="auto"/>
              <w:bottom w:val="single" w:sz="4" w:space="0" w:color="auto"/>
              <w:right w:val="single" w:sz="4" w:space="0" w:color="auto"/>
            </w:tcBorders>
          </w:tcPr>
          <w:p w14:paraId="348FAC15" w14:textId="77777777" w:rsidR="00317254" w:rsidRPr="00694FDA" w:rsidRDefault="00317254" w:rsidP="00775A4B">
            <w:pPr>
              <w:jc w:val="center"/>
              <w:rPr>
                <w:sz w:val="22"/>
                <w:szCs w:val="22"/>
                <w:highlight w:val="lightGray"/>
              </w:rPr>
            </w:pPr>
          </w:p>
        </w:tc>
      </w:tr>
      <w:tr w:rsidR="00317254" w:rsidRPr="00AE6AD4" w14:paraId="6AB6BC32"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77006563" w14:textId="77777777" w:rsidR="00317254" w:rsidRPr="00430315" w:rsidRDefault="00317254" w:rsidP="00EB1D9E">
            <w:pPr>
              <w:rPr>
                <w:b/>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53E8CDC" w14:textId="77777777" w:rsidR="00317254" w:rsidRPr="00775A4B" w:rsidRDefault="00317254" w:rsidP="00EB1D9E">
            <w:pPr>
              <w:jc w:val="center"/>
              <w:rPr>
                <w:sz w:val="22"/>
                <w:szCs w:val="22"/>
                <w:highlight w:val="lightGray"/>
              </w:rPr>
            </w:pPr>
          </w:p>
        </w:tc>
        <w:tc>
          <w:tcPr>
            <w:tcW w:w="1693" w:type="dxa"/>
            <w:tcBorders>
              <w:top w:val="single" w:sz="4" w:space="0" w:color="auto"/>
              <w:left w:val="single" w:sz="4" w:space="0" w:color="auto"/>
              <w:bottom w:val="single" w:sz="4" w:space="0" w:color="auto"/>
              <w:right w:val="single" w:sz="4" w:space="0" w:color="auto"/>
            </w:tcBorders>
          </w:tcPr>
          <w:p w14:paraId="2BAEC48A" w14:textId="77777777" w:rsidR="00317254" w:rsidRPr="00775A4B" w:rsidRDefault="00317254" w:rsidP="00EB1D9E">
            <w:pPr>
              <w:jc w:val="center"/>
              <w:rPr>
                <w:sz w:val="22"/>
                <w:szCs w:val="22"/>
                <w:highlight w:val="lightGray"/>
              </w:rPr>
            </w:pPr>
          </w:p>
        </w:tc>
      </w:tr>
      <w:tr w:rsidR="00317254" w:rsidRPr="00AE6AD4" w14:paraId="2CA77A2B"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7F5EB0BD" w14:textId="77777777" w:rsidR="00317254" w:rsidRPr="00430315" w:rsidRDefault="00317254" w:rsidP="00EB1D9E">
            <w:pPr>
              <w:rPr>
                <w:b/>
                <w:sz w:val="22"/>
                <w:szCs w:val="22"/>
              </w:rPr>
            </w:pPr>
            <w:r>
              <w:rPr>
                <w:b/>
                <w:sz w:val="22"/>
                <w:szCs w:val="22"/>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EAF360C" w14:textId="77777777" w:rsidR="00317254" w:rsidRPr="00775A4B" w:rsidRDefault="00317254" w:rsidP="00EB1D9E">
            <w:pPr>
              <w:jc w:val="center"/>
              <w:rPr>
                <w:sz w:val="22"/>
                <w:szCs w:val="22"/>
                <w:highlight w:val="lightGray"/>
              </w:rPr>
            </w:pPr>
          </w:p>
        </w:tc>
        <w:tc>
          <w:tcPr>
            <w:tcW w:w="1693" w:type="dxa"/>
            <w:tcBorders>
              <w:top w:val="single" w:sz="4" w:space="0" w:color="auto"/>
              <w:left w:val="single" w:sz="4" w:space="0" w:color="auto"/>
              <w:bottom w:val="single" w:sz="4" w:space="0" w:color="auto"/>
              <w:right w:val="single" w:sz="4" w:space="0" w:color="auto"/>
            </w:tcBorders>
          </w:tcPr>
          <w:p w14:paraId="52B96012" w14:textId="77777777" w:rsidR="00317254" w:rsidRPr="00775A4B" w:rsidRDefault="00317254" w:rsidP="00EB1D9E">
            <w:pPr>
              <w:jc w:val="center"/>
              <w:rPr>
                <w:sz w:val="22"/>
                <w:szCs w:val="22"/>
                <w:highlight w:val="lightGray"/>
              </w:rPr>
            </w:pPr>
          </w:p>
        </w:tc>
      </w:tr>
      <w:tr w:rsidR="00317254" w:rsidRPr="00AE6AD4" w14:paraId="09D99CCA"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30067F1E" w14:textId="77777777" w:rsidR="00317254" w:rsidRPr="00430315" w:rsidRDefault="00317254" w:rsidP="00EB1D9E">
            <w:pPr>
              <w:rPr>
                <w:b/>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4475DEC" w14:textId="77777777" w:rsidR="00317254" w:rsidRPr="00775A4B" w:rsidRDefault="00317254" w:rsidP="00EB1D9E">
            <w:pPr>
              <w:jc w:val="center"/>
              <w:rPr>
                <w:sz w:val="22"/>
                <w:szCs w:val="22"/>
                <w:highlight w:val="lightGray"/>
              </w:rPr>
            </w:pPr>
          </w:p>
        </w:tc>
        <w:tc>
          <w:tcPr>
            <w:tcW w:w="1693" w:type="dxa"/>
            <w:tcBorders>
              <w:top w:val="single" w:sz="4" w:space="0" w:color="auto"/>
              <w:left w:val="single" w:sz="4" w:space="0" w:color="auto"/>
              <w:bottom w:val="single" w:sz="4" w:space="0" w:color="auto"/>
              <w:right w:val="single" w:sz="4" w:space="0" w:color="auto"/>
            </w:tcBorders>
          </w:tcPr>
          <w:p w14:paraId="40EAC6CE" w14:textId="77777777" w:rsidR="00317254" w:rsidRPr="00775A4B" w:rsidRDefault="00317254" w:rsidP="00EB1D9E">
            <w:pPr>
              <w:jc w:val="center"/>
              <w:rPr>
                <w:sz w:val="22"/>
                <w:szCs w:val="22"/>
                <w:highlight w:val="lightGray"/>
              </w:rPr>
            </w:pPr>
          </w:p>
        </w:tc>
      </w:tr>
      <w:tr w:rsidR="00317254" w:rsidRPr="00AE6AD4" w14:paraId="3648D01A"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7C609D96" w14:textId="77777777" w:rsidR="00317254" w:rsidRPr="00430315" w:rsidRDefault="00317254" w:rsidP="00775A4B">
            <w:pPr>
              <w:rPr>
                <w:b/>
                <w:sz w:val="22"/>
                <w:szCs w:val="22"/>
              </w:rPr>
            </w:pPr>
            <w:r w:rsidRPr="00430315">
              <w:rPr>
                <w:b/>
                <w:sz w:val="22"/>
                <w:szCs w:val="22"/>
              </w:rPr>
              <w:t>Total score for Key experts</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18A8A24" w14:textId="77777777" w:rsidR="00317254" w:rsidRPr="00775A4B" w:rsidRDefault="00317254" w:rsidP="00775A4B">
            <w:pPr>
              <w:jc w:val="center"/>
              <w:rPr>
                <w:sz w:val="22"/>
                <w:szCs w:val="22"/>
                <w:highlight w:val="lightGray"/>
              </w:rPr>
            </w:pPr>
            <w:r w:rsidRPr="00694FDA">
              <w:rPr>
                <w:sz w:val="22"/>
                <w:szCs w:val="22"/>
                <w:highlight w:val="lightGray"/>
              </w:rPr>
              <w:t>[</w:t>
            </w:r>
            <w:r>
              <w:rPr>
                <w:sz w:val="22"/>
                <w:szCs w:val="22"/>
                <w:highlight w:val="lightGray"/>
              </w:rPr>
              <w:t>points</w:t>
            </w:r>
            <w:r w:rsidRPr="00694FDA">
              <w:rPr>
                <w:sz w:val="22"/>
                <w:szCs w:val="22"/>
                <w:highlight w:val="lightGray"/>
              </w:rPr>
              <w:t>]</w:t>
            </w:r>
            <w:r>
              <w:rPr>
                <w:sz w:val="22"/>
                <w:szCs w:val="22"/>
                <w:highlight w:val="lightGray"/>
              </w:rPr>
              <w:t xml:space="preserve"> </w:t>
            </w:r>
          </w:p>
        </w:tc>
        <w:tc>
          <w:tcPr>
            <w:tcW w:w="1693" w:type="dxa"/>
            <w:tcBorders>
              <w:top w:val="single" w:sz="4" w:space="0" w:color="auto"/>
              <w:left w:val="single" w:sz="4" w:space="0" w:color="auto"/>
              <w:bottom w:val="single" w:sz="4" w:space="0" w:color="auto"/>
              <w:right w:val="single" w:sz="4" w:space="0" w:color="auto"/>
            </w:tcBorders>
          </w:tcPr>
          <w:p w14:paraId="5AE24A4A" w14:textId="77777777" w:rsidR="00317254" w:rsidRPr="00694FDA" w:rsidRDefault="00317254" w:rsidP="00775A4B">
            <w:pPr>
              <w:jc w:val="center"/>
              <w:rPr>
                <w:sz w:val="22"/>
                <w:szCs w:val="22"/>
                <w:highlight w:val="lightGray"/>
              </w:rPr>
            </w:pPr>
          </w:p>
        </w:tc>
      </w:tr>
      <w:tr w:rsidR="00317254" w:rsidRPr="00430315" w14:paraId="623354E4"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22643968" w14:textId="77777777" w:rsidR="00317254" w:rsidRPr="00430315" w:rsidRDefault="00317254" w:rsidP="00EB1D9E">
            <w:pPr>
              <w:rPr>
                <w:b/>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9FB1AF4" w14:textId="77777777" w:rsidR="00317254" w:rsidRPr="00775A4B" w:rsidRDefault="00317254" w:rsidP="00EB1D9E">
            <w:pPr>
              <w:jc w:val="center"/>
              <w:rPr>
                <w:sz w:val="22"/>
                <w:szCs w:val="22"/>
                <w:highlight w:val="lightGray"/>
              </w:rPr>
            </w:pPr>
          </w:p>
        </w:tc>
        <w:tc>
          <w:tcPr>
            <w:tcW w:w="1693" w:type="dxa"/>
            <w:tcBorders>
              <w:top w:val="single" w:sz="4" w:space="0" w:color="auto"/>
              <w:left w:val="single" w:sz="4" w:space="0" w:color="auto"/>
              <w:bottom w:val="single" w:sz="4" w:space="0" w:color="auto"/>
              <w:right w:val="single" w:sz="4" w:space="0" w:color="auto"/>
            </w:tcBorders>
          </w:tcPr>
          <w:p w14:paraId="3145EA1E" w14:textId="77777777" w:rsidR="00317254" w:rsidRPr="00775A4B" w:rsidRDefault="00317254" w:rsidP="00EB1D9E">
            <w:pPr>
              <w:jc w:val="center"/>
              <w:rPr>
                <w:sz w:val="22"/>
                <w:szCs w:val="22"/>
                <w:highlight w:val="lightGray"/>
              </w:rPr>
            </w:pPr>
          </w:p>
        </w:tc>
      </w:tr>
      <w:tr w:rsidR="00317254" w:rsidRPr="00430315" w14:paraId="5EE1CF37"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664CA06B" w14:textId="77777777" w:rsidR="00317254" w:rsidRPr="00430315" w:rsidRDefault="00317254" w:rsidP="00EB1D9E">
            <w:pPr>
              <w:rPr>
                <w:b/>
                <w:sz w:val="22"/>
                <w:szCs w:val="22"/>
              </w:rPr>
            </w:pPr>
            <w:r w:rsidRPr="00430315">
              <w:rPr>
                <w:b/>
                <w:sz w:val="22"/>
                <w:szCs w:val="22"/>
              </w:rPr>
              <w:t>Overall total score</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4B310CC" w14:textId="77777777" w:rsidR="00317254" w:rsidRPr="00775A4B" w:rsidRDefault="00317254" w:rsidP="00EB1D9E">
            <w:pPr>
              <w:jc w:val="center"/>
              <w:rPr>
                <w:sz w:val="22"/>
                <w:szCs w:val="22"/>
                <w:highlight w:val="lightGray"/>
              </w:rPr>
            </w:pPr>
            <w:r w:rsidRPr="00775A4B">
              <w:rPr>
                <w:sz w:val="22"/>
                <w:szCs w:val="22"/>
                <w:highlight w:val="lightGray"/>
              </w:rPr>
              <w:t>100</w:t>
            </w:r>
          </w:p>
        </w:tc>
        <w:tc>
          <w:tcPr>
            <w:tcW w:w="1693" w:type="dxa"/>
            <w:tcBorders>
              <w:top w:val="single" w:sz="4" w:space="0" w:color="auto"/>
              <w:left w:val="single" w:sz="4" w:space="0" w:color="auto"/>
              <w:bottom w:val="single" w:sz="4" w:space="0" w:color="auto"/>
              <w:right w:val="single" w:sz="4" w:space="0" w:color="auto"/>
            </w:tcBorders>
          </w:tcPr>
          <w:p w14:paraId="0498397B" w14:textId="77777777" w:rsidR="00317254" w:rsidRPr="00775A4B" w:rsidRDefault="00317254" w:rsidP="00EB1D9E">
            <w:pPr>
              <w:jc w:val="center"/>
              <w:rPr>
                <w:sz w:val="22"/>
                <w:szCs w:val="22"/>
                <w:highlight w:val="lightGray"/>
              </w:rPr>
            </w:pPr>
          </w:p>
        </w:tc>
      </w:tr>
    </w:tbl>
    <w:p w14:paraId="17D75F47" w14:textId="77777777" w:rsidR="00BC47FD" w:rsidRDefault="00BC47FD" w:rsidP="00BC47FD">
      <w:pPr>
        <w:pStyle w:val="Footer"/>
        <w:rPr>
          <w:b/>
          <w:sz w:val="20"/>
        </w:rPr>
      </w:pPr>
    </w:p>
    <w:p w14:paraId="3C6EE8A8" w14:textId="77777777" w:rsidR="00BC47FD" w:rsidRDefault="00BC47FD" w:rsidP="00BC47FD">
      <w:pPr>
        <w:pStyle w:val="Footer"/>
        <w:rPr>
          <w:b/>
          <w:sz w:val="20"/>
        </w:rPr>
      </w:pPr>
    </w:p>
    <w:p w14:paraId="05E041E9" w14:textId="77777777" w:rsidR="00317254" w:rsidRPr="004F4330" w:rsidRDefault="00317254" w:rsidP="00317254">
      <w:pPr>
        <w:keepNext/>
        <w:keepLines/>
        <w:spacing w:after="120"/>
        <w:ind w:left="-284"/>
        <w:rPr>
          <w:b/>
          <w:sz w:val="22"/>
          <w:szCs w:val="22"/>
        </w:rPr>
      </w:pPr>
      <w:r w:rsidRPr="004F4330">
        <w:rPr>
          <w:b/>
          <w:sz w:val="22"/>
          <w:szCs w:val="22"/>
        </w:rPr>
        <w:t>Evaluation performed by:</w:t>
      </w: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5103"/>
      </w:tblGrid>
      <w:tr w:rsidR="00317254" w:rsidRPr="004F4330" w14:paraId="6C67CAE0" w14:textId="77777777" w:rsidTr="00EB1D9E">
        <w:trPr>
          <w:trHeight w:val="275"/>
        </w:trPr>
        <w:tc>
          <w:tcPr>
            <w:tcW w:w="1242" w:type="dxa"/>
            <w:shd w:val="pct10" w:color="auto" w:fill="FFFFFF"/>
          </w:tcPr>
          <w:p w14:paraId="074D4910" w14:textId="77777777" w:rsidR="00317254" w:rsidRPr="004F4330" w:rsidRDefault="00317254" w:rsidP="00EB1D9E">
            <w:pPr>
              <w:keepNext/>
              <w:keepLines/>
              <w:spacing w:before="80" w:after="80"/>
              <w:rPr>
                <w:b/>
                <w:sz w:val="22"/>
                <w:szCs w:val="22"/>
              </w:rPr>
            </w:pPr>
            <w:r w:rsidRPr="004F4330">
              <w:rPr>
                <w:b/>
                <w:sz w:val="22"/>
                <w:szCs w:val="22"/>
              </w:rPr>
              <w:t>Name</w:t>
            </w:r>
          </w:p>
        </w:tc>
        <w:tc>
          <w:tcPr>
            <w:tcW w:w="5103" w:type="dxa"/>
          </w:tcPr>
          <w:p w14:paraId="3AF88DE1" w14:textId="77777777" w:rsidR="00317254" w:rsidRPr="004F4330" w:rsidRDefault="00317254" w:rsidP="00EB1D9E">
            <w:pPr>
              <w:keepNext/>
              <w:keepLines/>
              <w:spacing w:before="80" w:after="80"/>
              <w:rPr>
                <w:sz w:val="22"/>
                <w:szCs w:val="22"/>
              </w:rPr>
            </w:pPr>
          </w:p>
        </w:tc>
      </w:tr>
      <w:tr w:rsidR="00317254" w:rsidRPr="004F4330" w14:paraId="7FAAD10A" w14:textId="77777777" w:rsidTr="00EB1D9E">
        <w:tc>
          <w:tcPr>
            <w:tcW w:w="1242" w:type="dxa"/>
            <w:shd w:val="pct10" w:color="auto" w:fill="FFFFFF"/>
          </w:tcPr>
          <w:p w14:paraId="64DEE0EB" w14:textId="77777777" w:rsidR="00317254" w:rsidRPr="004F4330" w:rsidRDefault="00317254" w:rsidP="00EB1D9E">
            <w:pPr>
              <w:keepNext/>
              <w:keepLines/>
              <w:spacing w:before="80" w:after="80"/>
              <w:rPr>
                <w:b/>
                <w:sz w:val="22"/>
                <w:szCs w:val="22"/>
              </w:rPr>
            </w:pPr>
            <w:r w:rsidRPr="004F4330">
              <w:rPr>
                <w:b/>
                <w:sz w:val="22"/>
                <w:szCs w:val="22"/>
              </w:rPr>
              <w:t>Signature</w:t>
            </w:r>
          </w:p>
        </w:tc>
        <w:tc>
          <w:tcPr>
            <w:tcW w:w="5103" w:type="dxa"/>
          </w:tcPr>
          <w:p w14:paraId="556786CA" w14:textId="77777777" w:rsidR="00317254" w:rsidRPr="004F4330" w:rsidRDefault="00317254" w:rsidP="00EB1D9E">
            <w:pPr>
              <w:keepNext/>
              <w:keepLines/>
              <w:spacing w:before="80" w:after="80"/>
              <w:rPr>
                <w:sz w:val="22"/>
                <w:szCs w:val="22"/>
              </w:rPr>
            </w:pPr>
          </w:p>
        </w:tc>
      </w:tr>
      <w:tr w:rsidR="00317254" w:rsidRPr="004F4330" w14:paraId="3F099FED" w14:textId="77777777" w:rsidTr="00EB1D9E">
        <w:tc>
          <w:tcPr>
            <w:tcW w:w="1242" w:type="dxa"/>
            <w:shd w:val="pct10" w:color="auto" w:fill="FFFFFF"/>
          </w:tcPr>
          <w:p w14:paraId="57226EC8" w14:textId="77777777" w:rsidR="00317254" w:rsidRPr="004F4330" w:rsidRDefault="00317254" w:rsidP="00EB1D9E">
            <w:pPr>
              <w:keepNext/>
              <w:keepLines/>
              <w:spacing w:before="80" w:after="80"/>
              <w:rPr>
                <w:b/>
                <w:sz w:val="22"/>
                <w:szCs w:val="22"/>
              </w:rPr>
            </w:pPr>
            <w:r w:rsidRPr="004F4330">
              <w:rPr>
                <w:b/>
                <w:sz w:val="22"/>
                <w:szCs w:val="22"/>
              </w:rPr>
              <w:t>Date</w:t>
            </w:r>
          </w:p>
        </w:tc>
        <w:tc>
          <w:tcPr>
            <w:tcW w:w="5103" w:type="dxa"/>
          </w:tcPr>
          <w:p w14:paraId="5F00DC20" w14:textId="77777777" w:rsidR="00317254" w:rsidRPr="004F4330" w:rsidRDefault="00317254" w:rsidP="00EB1D9E">
            <w:pPr>
              <w:keepNext/>
              <w:keepLines/>
              <w:spacing w:before="80" w:after="80"/>
              <w:rPr>
                <w:sz w:val="22"/>
                <w:szCs w:val="22"/>
              </w:rPr>
            </w:pPr>
          </w:p>
        </w:tc>
      </w:tr>
    </w:tbl>
    <w:p w14:paraId="6F491AF1" w14:textId="77777777" w:rsidR="00376664" w:rsidRDefault="00376664" w:rsidP="00376664">
      <w:pPr>
        <w:rPr>
          <w:sz w:val="22"/>
          <w:szCs w:val="22"/>
        </w:rPr>
      </w:pPr>
    </w:p>
    <w:p w14:paraId="629B7334" w14:textId="77777777" w:rsidR="00376664" w:rsidRDefault="00376664" w:rsidP="00BC47FD">
      <w:pPr>
        <w:pStyle w:val="Footer"/>
        <w:rPr>
          <w:szCs w:val="24"/>
        </w:rPr>
      </w:pPr>
    </w:p>
    <w:p w14:paraId="009F8236" w14:textId="77777777" w:rsidR="00376664" w:rsidRDefault="00376664" w:rsidP="00BC47FD">
      <w:pPr>
        <w:pStyle w:val="Footer"/>
        <w:rPr>
          <w:szCs w:val="24"/>
        </w:rPr>
      </w:pPr>
    </w:p>
    <w:p w14:paraId="02530FD0" w14:textId="77777777" w:rsidR="00317254" w:rsidRDefault="00317254" w:rsidP="00BC47FD">
      <w:pPr>
        <w:pStyle w:val="Footer"/>
        <w:rPr>
          <w:sz w:val="20"/>
        </w:rPr>
      </w:pPr>
    </w:p>
    <w:p w14:paraId="479248E6" w14:textId="77777777" w:rsidR="00317254" w:rsidRDefault="00317254" w:rsidP="00BC47FD">
      <w:pPr>
        <w:pStyle w:val="Footer"/>
        <w:rPr>
          <w:sz w:val="20"/>
        </w:rPr>
      </w:pPr>
    </w:p>
    <w:p w14:paraId="52037695" w14:textId="77777777" w:rsidR="00317254" w:rsidRDefault="00317254" w:rsidP="00BC47FD">
      <w:pPr>
        <w:pStyle w:val="Footer"/>
        <w:rPr>
          <w:sz w:val="20"/>
        </w:rPr>
      </w:pPr>
    </w:p>
    <w:p w14:paraId="69E9073F" w14:textId="77777777" w:rsidR="00BC47FD" w:rsidRPr="0085417A" w:rsidRDefault="00BC47FD" w:rsidP="00BC47FD">
      <w:pPr>
        <w:pStyle w:val="Footer"/>
        <w:rPr>
          <w:sz w:val="20"/>
        </w:rPr>
      </w:pPr>
      <w:r w:rsidRPr="0085417A">
        <w:rPr>
          <w:sz w:val="20"/>
        </w:rPr>
        <w:t xml:space="preserve">NB Only tenders with average scores of at least </w:t>
      </w:r>
      <w:r w:rsidR="004D0E5A">
        <w:rPr>
          <w:sz w:val="20"/>
        </w:rPr>
        <w:t>75</w:t>
      </w:r>
      <w:r w:rsidR="004D0E5A" w:rsidRPr="0085417A">
        <w:rPr>
          <w:sz w:val="20"/>
        </w:rPr>
        <w:t xml:space="preserve"> </w:t>
      </w:r>
      <w:r w:rsidRPr="0085417A">
        <w:rPr>
          <w:sz w:val="20"/>
        </w:rPr>
        <w:t>points qualify for the financial evaluation</w:t>
      </w:r>
    </w:p>
    <w:p w14:paraId="2BC7E2EA" w14:textId="77777777" w:rsidR="00430315" w:rsidRDefault="00430315">
      <w:pPr>
        <w:rPr>
          <w:sz w:val="22"/>
          <w:szCs w:val="22"/>
        </w:rPr>
      </w:pPr>
    </w:p>
    <w:p w14:paraId="29E72AC4" w14:textId="425A0470" w:rsidR="002A1564" w:rsidRPr="00AC7C21" w:rsidRDefault="002A1564" w:rsidP="002C45C5">
      <w:pPr>
        <w:pStyle w:val="Header"/>
        <w:tabs>
          <w:tab w:val="clear" w:pos="4153"/>
          <w:tab w:val="clear" w:pos="8306"/>
        </w:tabs>
      </w:pPr>
    </w:p>
    <w:sectPr w:rsidR="002A1564" w:rsidRPr="00AC7C21" w:rsidSect="00FB02EF">
      <w:headerReference w:type="default" r:id="rId8"/>
      <w:footerReference w:type="default" r:id="rId9"/>
      <w:pgSz w:w="11907" w:h="16840" w:code="9"/>
      <w:pgMar w:top="1246" w:right="1797" w:bottom="1440" w:left="1797" w:header="720" w:footer="52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C54A01" w14:textId="77777777" w:rsidR="00B07CE2" w:rsidRDefault="00B07CE2">
      <w:r>
        <w:separator/>
      </w:r>
    </w:p>
  </w:endnote>
  <w:endnote w:type="continuationSeparator" w:id="0">
    <w:p w14:paraId="5953543C" w14:textId="77777777" w:rsidR="00B07CE2" w:rsidRDefault="00B07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HelveticaNeueLT Std L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1A07E3" w14:textId="77777777" w:rsidR="00AC7C21" w:rsidRDefault="00AC7C21" w:rsidP="00FB02EF">
    <w:pPr>
      <w:pStyle w:val="Footer"/>
      <w:tabs>
        <w:tab w:val="clear" w:pos="4153"/>
      </w:tabs>
      <w:rPr>
        <w:b/>
        <w:snapToGrid w:val="0"/>
        <w:sz w:val="18"/>
        <w:szCs w:val="18"/>
      </w:rPr>
    </w:pPr>
  </w:p>
  <w:p w14:paraId="71AD6781" w14:textId="6E2099C0" w:rsidR="000B17D4" w:rsidRDefault="000B17D4" w:rsidP="00FB02EF">
    <w:pPr>
      <w:pStyle w:val="Footer"/>
      <w:tabs>
        <w:tab w:val="clear" w:pos="4153"/>
      </w:tabs>
      <w:rPr>
        <w:sz w:val="18"/>
        <w:szCs w:val="18"/>
      </w:rPr>
    </w:pPr>
    <w:r w:rsidRPr="00324A1E">
      <w:rPr>
        <w:sz w:val="18"/>
        <w:szCs w:val="18"/>
      </w:rPr>
      <w:tab/>
    </w:r>
    <w:r w:rsidRPr="00C74313">
      <w:rPr>
        <w:sz w:val="18"/>
        <w:szCs w:val="18"/>
      </w:rPr>
      <w:t xml:space="preserve">Page </w:t>
    </w:r>
    <w:r w:rsidRPr="00C74313">
      <w:rPr>
        <w:sz w:val="18"/>
        <w:szCs w:val="18"/>
      </w:rPr>
      <w:fldChar w:fldCharType="begin"/>
    </w:r>
    <w:r w:rsidRPr="00C74313">
      <w:rPr>
        <w:sz w:val="18"/>
        <w:szCs w:val="18"/>
      </w:rPr>
      <w:instrText xml:space="preserve"> PAGE </w:instrText>
    </w:r>
    <w:r w:rsidRPr="00C74313">
      <w:rPr>
        <w:sz w:val="18"/>
        <w:szCs w:val="18"/>
      </w:rPr>
      <w:fldChar w:fldCharType="separate"/>
    </w:r>
    <w:r w:rsidR="002C45C5">
      <w:rPr>
        <w:noProof/>
        <w:sz w:val="18"/>
        <w:szCs w:val="18"/>
      </w:rPr>
      <w:t>2</w:t>
    </w:r>
    <w:r w:rsidRPr="00C74313">
      <w:rPr>
        <w:sz w:val="18"/>
        <w:szCs w:val="18"/>
      </w:rPr>
      <w:fldChar w:fldCharType="end"/>
    </w:r>
    <w:r w:rsidRPr="00C74313">
      <w:rPr>
        <w:sz w:val="18"/>
        <w:szCs w:val="18"/>
      </w:rPr>
      <w:t xml:space="preserve"> of </w:t>
    </w:r>
    <w:r w:rsidRPr="00C74313">
      <w:rPr>
        <w:sz w:val="18"/>
        <w:szCs w:val="18"/>
      </w:rPr>
      <w:fldChar w:fldCharType="begin"/>
    </w:r>
    <w:r w:rsidRPr="00C74313">
      <w:rPr>
        <w:sz w:val="18"/>
        <w:szCs w:val="18"/>
      </w:rPr>
      <w:instrText xml:space="preserve"> NUMPAGES </w:instrText>
    </w:r>
    <w:r w:rsidRPr="00C74313">
      <w:rPr>
        <w:sz w:val="18"/>
        <w:szCs w:val="18"/>
      </w:rPr>
      <w:fldChar w:fldCharType="separate"/>
    </w:r>
    <w:r w:rsidR="002C45C5">
      <w:rPr>
        <w:noProof/>
        <w:sz w:val="18"/>
        <w:szCs w:val="18"/>
      </w:rPr>
      <w:t>2</w:t>
    </w:r>
    <w:r w:rsidRPr="00C74313">
      <w:rPr>
        <w:sz w:val="18"/>
        <w:szCs w:val="18"/>
      </w:rPr>
      <w:fldChar w:fldCharType="end"/>
    </w:r>
  </w:p>
  <w:p w14:paraId="2468AA1D" w14:textId="6BB52ECB" w:rsidR="000B17D4" w:rsidRPr="00FB02EF" w:rsidRDefault="000B17D4" w:rsidP="00FB02EF">
    <w:pPr>
      <w:pStyle w:val="Footer"/>
      <w:tabs>
        <w:tab w:val="clear" w:pos="4153"/>
      </w:tabs>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7233F2" w14:textId="77777777" w:rsidR="00B07CE2" w:rsidRDefault="00B07CE2">
      <w:r>
        <w:separator/>
      </w:r>
    </w:p>
  </w:footnote>
  <w:footnote w:type="continuationSeparator" w:id="0">
    <w:p w14:paraId="6335740A" w14:textId="77777777" w:rsidR="00B07CE2" w:rsidRDefault="00B07C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415FF8" w14:textId="6BFCA7FE" w:rsidR="009B624B" w:rsidRDefault="001316D1" w:rsidP="009B624B">
    <w:pPr>
      <w:rPr>
        <w:b/>
        <w:bCs/>
        <w:sz w:val="20"/>
      </w:rPr>
    </w:pPr>
    <w:r>
      <w:rPr>
        <w:b/>
        <w:bCs/>
        <w:noProof/>
        <w:color w:val="000000"/>
        <w:sz w:val="20"/>
      </w:rPr>
      <w:drawing>
        <wp:inline distT="0" distB="0" distL="0" distR="0" wp14:anchorId="56C5AD17" wp14:editId="4A06F9F7">
          <wp:extent cx="2865120" cy="853440"/>
          <wp:effectExtent l="0" t="0" r="0" b="3810"/>
          <wp:docPr id="842300702" name="Picture 1"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300702" name="Picture 1" descr="A blue flag with yellow star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p w14:paraId="161D8B7F" w14:textId="71C15FC1" w:rsidR="00775A4B" w:rsidRDefault="00775A4B" w:rsidP="00775A4B">
    <w:pPr>
      <w:pStyle w:val="Footer"/>
      <w:rPr>
        <w:b/>
        <w:sz w:val="28"/>
        <w:szCs w:val="28"/>
      </w:rPr>
    </w:pPr>
  </w:p>
  <w:p w14:paraId="067D4BED" w14:textId="77777777" w:rsidR="00775A4B" w:rsidRDefault="00775A4B" w:rsidP="00FB02EF">
    <w:pPr>
      <w:pStyle w:val="Footer"/>
      <w:jc w:val="center"/>
      <w:rPr>
        <w:b/>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252ED2"/>
    <w:multiLevelType w:val="hybridMultilevel"/>
    <w:tmpl w:val="D25812C6"/>
    <w:lvl w:ilvl="0" w:tplc="8F66C52E">
      <w:start w:val="1"/>
      <w:numFmt w:val="bullet"/>
      <w:lvlText w:val="-"/>
      <w:lvlJc w:val="left"/>
      <w:pPr>
        <w:ind w:left="720" w:hanging="360"/>
      </w:pPr>
      <w:rPr>
        <w:rFonts w:ascii="Calibri" w:hAnsi="Calibri"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585361A"/>
    <w:multiLevelType w:val="hybridMultilevel"/>
    <w:tmpl w:val="B9CEB792"/>
    <w:lvl w:ilvl="0" w:tplc="D44C08CC">
      <w:start w:val="29"/>
      <w:numFmt w:val="bullet"/>
      <w:lvlText w:val="-"/>
      <w:lvlJc w:val="left"/>
      <w:pPr>
        <w:ind w:left="1080" w:hanging="360"/>
      </w:pPr>
      <w:rPr>
        <w:rFonts w:ascii="Times New Roman" w:eastAsia="Calibr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 w15:restartNumberingAfterBreak="0">
    <w:nsid w:val="5C0336CB"/>
    <w:multiLevelType w:val="hybridMultilevel"/>
    <w:tmpl w:val="A9468652"/>
    <w:lvl w:ilvl="0" w:tplc="041A0011">
      <w:start w:val="1"/>
      <w:numFmt w:val="decimal"/>
      <w:lvlText w:val="%1)"/>
      <w:lvlJc w:val="left"/>
      <w:pPr>
        <w:ind w:left="1004" w:hanging="360"/>
      </w:pPr>
    </w:lvl>
    <w:lvl w:ilvl="1" w:tplc="041A0019">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3" w15:restartNumberingAfterBreak="0">
    <w:nsid w:val="6D7B58E9"/>
    <w:multiLevelType w:val="hybridMultilevel"/>
    <w:tmpl w:val="5D54E262"/>
    <w:lvl w:ilvl="0" w:tplc="8F66C52E">
      <w:start w:val="1"/>
      <w:numFmt w:val="bullet"/>
      <w:lvlText w:val="-"/>
      <w:lvlJc w:val="left"/>
      <w:pPr>
        <w:ind w:left="720" w:hanging="360"/>
      </w:pPr>
      <w:rPr>
        <w:rFonts w:ascii="Calibri" w:hAnsi="Calibri"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38665537">
    <w:abstractNumId w:val="0"/>
  </w:num>
  <w:num w:numId="2" w16cid:durableId="347605407">
    <w:abstractNumId w:val="2"/>
  </w:num>
  <w:num w:numId="3" w16cid:durableId="1473522830">
    <w:abstractNumId w:val="1"/>
  </w:num>
  <w:num w:numId="4" w16cid:durableId="9589534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F404F"/>
    <w:rsid w:val="00023F45"/>
    <w:rsid w:val="000404D6"/>
    <w:rsid w:val="00094838"/>
    <w:rsid w:val="000A68A0"/>
    <w:rsid w:val="000B17D4"/>
    <w:rsid w:val="000C60B0"/>
    <w:rsid w:val="000F363A"/>
    <w:rsid w:val="0010663B"/>
    <w:rsid w:val="001316D1"/>
    <w:rsid w:val="001375B0"/>
    <w:rsid w:val="001D4288"/>
    <w:rsid w:val="001E2683"/>
    <w:rsid w:val="00222B6A"/>
    <w:rsid w:val="0024619C"/>
    <w:rsid w:val="00282C14"/>
    <w:rsid w:val="002A1564"/>
    <w:rsid w:val="002C45C5"/>
    <w:rsid w:val="002D5433"/>
    <w:rsid w:val="002E2EAE"/>
    <w:rsid w:val="002F3189"/>
    <w:rsid w:val="00300592"/>
    <w:rsid w:val="00317254"/>
    <w:rsid w:val="00324A1E"/>
    <w:rsid w:val="00376664"/>
    <w:rsid w:val="003807C4"/>
    <w:rsid w:val="003F3352"/>
    <w:rsid w:val="00413BA9"/>
    <w:rsid w:val="00430315"/>
    <w:rsid w:val="00445790"/>
    <w:rsid w:val="004642BF"/>
    <w:rsid w:val="00467D6B"/>
    <w:rsid w:val="004B022F"/>
    <w:rsid w:val="004B74B2"/>
    <w:rsid w:val="004D0E5A"/>
    <w:rsid w:val="0050149A"/>
    <w:rsid w:val="0053409D"/>
    <w:rsid w:val="00544970"/>
    <w:rsid w:val="00545DFB"/>
    <w:rsid w:val="005742DA"/>
    <w:rsid w:val="00576F4A"/>
    <w:rsid w:val="00592E86"/>
    <w:rsid w:val="005A0F48"/>
    <w:rsid w:val="005B30FE"/>
    <w:rsid w:val="005B41E3"/>
    <w:rsid w:val="005C604B"/>
    <w:rsid w:val="005E1430"/>
    <w:rsid w:val="006031F6"/>
    <w:rsid w:val="00620332"/>
    <w:rsid w:val="00694FDA"/>
    <w:rsid w:val="006F4042"/>
    <w:rsid w:val="007215F4"/>
    <w:rsid w:val="00724A05"/>
    <w:rsid w:val="00725E8A"/>
    <w:rsid w:val="00740EEA"/>
    <w:rsid w:val="00754279"/>
    <w:rsid w:val="00775A4B"/>
    <w:rsid w:val="00775E6A"/>
    <w:rsid w:val="007776B8"/>
    <w:rsid w:val="007B2B06"/>
    <w:rsid w:val="007B7D83"/>
    <w:rsid w:val="007C2859"/>
    <w:rsid w:val="007E4B25"/>
    <w:rsid w:val="008044A1"/>
    <w:rsid w:val="00843B61"/>
    <w:rsid w:val="0085417A"/>
    <w:rsid w:val="008755C8"/>
    <w:rsid w:val="00885C78"/>
    <w:rsid w:val="0092371D"/>
    <w:rsid w:val="00940341"/>
    <w:rsid w:val="00941599"/>
    <w:rsid w:val="00983FD8"/>
    <w:rsid w:val="00987DD0"/>
    <w:rsid w:val="009A045D"/>
    <w:rsid w:val="009B4B43"/>
    <w:rsid w:val="009B624B"/>
    <w:rsid w:val="009F3A06"/>
    <w:rsid w:val="009F70BB"/>
    <w:rsid w:val="00A345FD"/>
    <w:rsid w:val="00A4454E"/>
    <w:rsid w:val="00A64C1A"/>
    <w:rsid w:val="00A67B27"/>
    <w:rsid w:val="00A91511"/>
    <w:rsid w:val="00AA2569"/>
    <w:rsid w:val="00AC2171"/>
    <w:rsid w:val="00AC7C21"/>
    <w:rsid w:val="00AD245D"/>
    <w:rsid w:val="00AD656A"/>
    <w:rsid w:val="00AE0199"/>
    <w:rsid w:val="00AF3363"/>
    <w:rsid w:val="00B07CE2"/>
    <w:rsid w:val="00B22296"/>
    <w:rsid w:val="00B4356E"/>
    <w:rsid w:val="00B5130B"/>
    <w:rsid w:val="00BB4D31"/>
    <w:rsid w:val="00BC47FD"/>
    <w:rsid w:val="00BE57B3"/>
    <w:rsid w:val="00C04101"/>
    <w:rsid w:val="00C51F39"/>
    <w:rsid w:val="00C61D94"/>
    <w:rsid w:val="00C74313"/>
    <w:rsid w:val="00C906F1"/>
    <w:rsid w:val="00CC082B"/>
    <w:rsid w:val="00CC72B7"/>
    <w:rsid w:val="00CF12E4"/>
    <w:rsid w:val="00D1109D"/>
    <w:rsid w:val="00D7253C"/>
    <w:rsid w:val="00D87E1E"/>
    <w:rsid w:val="00DA4734"/>
    <w:rsid w:val="00DD4E75"/>
    <w:rsid w:val="00DE32C5"/>
    <w:rsid w:val="00DF404F"/>
    <w:rsid w:val="00E008B3"/>
    <w:rsid w:val="00E07798"/>
    <w:rsid w:val="00E32803"/>
    <w:rsid w:val="00E57F80"/>
    <w:rsid w:val="00EA7359"/>
    <w:rsid w:val="00EB1D9E"/>
    <w:rsid w:val="00F52416"/>
    <w:rsid w:val="00FB0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FD3276"/>
  <w15:chartTrackingRefBased/>
  <w15:docId w15:val="{6071A5FB-23F4-4887-A2CE-33007EB85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imes New Roman" w:hAnsi="Times New Roman"/>
      <w:sz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pPr>
  </w:style>
  <w:style w:type="paragraph" w:styleId="Header">
    <w:name w:val="header"/>
    <w:basedOn w:val="Normal"/>
    <w:link w:val="HeaderChar"/>
    <w:pPr>
      <w:tabs>
        <w:tab w:val="center" w:pos="4153"/>
        <w:tab w:val="right" w:pos="8306"/>
      </w:tabs>
    </w:pPr>
  </w:style>
  <w:style w:type="paragraph" w:styleId="BalloonText">
    <w:name w:val="Balloon Text"/>
    <w:basedOn w:val="Normal"/>
    <w:semiHidden/>
    <w:rsid w:val="00FB02EF"/>
    <w:rPr>
      <w:rFonts w:ascii="Tahoma" w:hAnsi="Tahoma" w:cs="Tahoma"/>
      <w:sz w:val="16"/>
      <w:szCs w:val="16"/>
    </w:rPr>
  </w:style>
  <w:style w:type="character" w:styleId="PageNumber">
    <w:name w:val="page number"/>
    <w:basedOn w:val="DefaultParagraphFont"/>
    <w:rsid w:val="00FB02EF"/>
  </w:style>
  <w:style w:type="character" w:customStyle="1" w:styleId="HeaderChar">
    <w:name w:val="Header Char"/>
    <w:link w:val="Header"/>
    <w:rsid w:val="00376664"/>
    <w:rPr>
      <w:rFonts w:ascii="Times New Roman" w:hAnsi="Times New Roman"/>
      <w:sz w:val="24"/>
    </w:rPr>
  </w:style>
  <w:style w:type="paragraph" w:styleId="Revision">
    <w:name w:val="Revision"/>
    <w:hidden/>
    <w:uiPriority w:val="99"/>
    <w:semiHidden/>
    <w:rsid w:val="00775A4B"/>
    <w:rPr>
      <w:rFonts w:ascii="Times New Roman" w:hAnsi="Times New Roman"/>
      <w:sz w:val="24"/>
      <w:lang w:val="en-GB" w:eastAsia="en-GB"/>
    </w:rPr>
  </w:style>
  <w:style w:type="table" w:styleId="TableGrid">
    <w:name w:val="Table Grid"/>
    <w:basedOn w:val="TableNormal"/>
    <w:rsid w:val="002A15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2A1564"/>
    <w:pPr>
      <w:spacing w:after="200" w:line="276" w:lineRule="auto"/>
      <w:ind w:left="720"/>
      <w:contextualSpacing/>
    </w:pPr>
    <w:rPr>
      <w:rFonts w:ascii="Calibri" w:eastAsia="Calibri" w:hAnsi="Calibri"/>
      <w:sz w:val="22"/>
      <w:szCs w:val="22"/>
      <w:lang w:val="en-US" w:eastAsia="en-US"/>
    </w:rPr>
  </w:style>
  <w:style w:type="character" w:customStyle="1" w:styleId="ListParagraphChar">
    <w:name w:val="List Paragraph Char"/>
    <w:link w:val="ListParagraph"/>
    <w:uiPriority w:val="34"/>
    <w:rsid w:val="002A1564"/>
    <w:rPr>
      <w:rFonts w:ascii="Calibri" w:eastAsia="Calibri" w:hAnsi="Calibri"/>
      <w:sz w:val="22"/>
      <w:szCs w:val="22"/>
      <w:lang w:val="en-US" w:eastAsia="en-US"/>
    </w:rPr>
  </w:style>
  <w:style w:type="paragraph" w:customStyle="1" w:styleId="Style11ptJustifiedAfter12pt">
    <w:name w:val="Style 11 pt Justified After:  12 pt"/>
    <w:basedOn w:val="Normal"/>
    <w:link w:val="Style11ptJustifiedAfter12ptChar"/>
    <w:rsid w:val="00317254"/>
    <w:pPr>
      <w:spacing w:after="120"/>
      <w:jc w:val="both"/>
    </w:pPr>
    <w:rPr>
      <w:sz w:val="22"/>
    </w:rPr>
  </w:style>
  <w:style w:type="character" w:customStyle="1" w:styleId="Style11ptJustifiedAfter12ptChar">
    <w:name w:val="Style 11 pt Justified After:  12 pt Char"/>
    <w:link w:val="Style11ptJustifiedAfter12pt"/>
    <w:rsid w:val="00317254"/>
    <w:rPr>
      <w:rFonts w:ascii="Times New Roman" w:hAnsi="Times New Roman"/>
      <w:sz w:val="22"/>
      <w:lang w:val="en-GB" w:eastAsia="en-GB"/>
    </w:rPr>
  </w:style>
  <w:style w:type="paragraph" w:customStyle="1" w:styleId="Pa9">
    <w:name w:val="Pa9"/>
    <w:basedOn w:val="Normal"/>
    <w:next w:val="Normal"/>
    <w:uiPriority w:val="99"/>
    <w:rsid w:val="00317254"/>
    <w:pPr>
      <w:autoSpaceDE w:val="0"/>
      <w:autoSpaceDN w:val="0"/>
      <w:adjustRightInd w:val="0"/>
      <w:spacing w:line="181" w:lineRule="atLeast"/>
    </w:pPr>
    <w:rPr>
      <w:rFonts w:ascii="HelveticaNeueLT Std Lt" w:hAnsi="HelveticaNeueLT Std Lt"/>
      <w:szCs w:val="24"/>
    </w:rPr>
  </w:style>
  <w:style w:type="character" w:customStyle="1" w:styleId="A8">
    <w:name w:val="A8"/>
    <w:uiPriority w:val="99"/>
    <w:rsid w:val="00317254"/>
    <w:rPr>
      <w:rFonts w:cs="HelveticaNeueLT Std Lt"/>
      <w:color w:val="000000"/>
      <w:sz w:val="18"/>
      <w:szCs w:val="18"/>
      <w:u w:val="single"/>
    </w:rPr>
  </w:style>
  <w:style w:type="paragraph" w:customStyle="1" w:styleId="Pa6">
    <w:name w:val="Pa6"/>
    <w:basedOn w:val="Normal"/>
    <w:next w:val="Normal"/>
    <w:uiPriority w:val="99"/>
    <w:rsid w:val="00317254"/>
    <w:pPr>
      <w:autoSpaceDE w:val="0"/>
      <w:autoSpaceDN w:val="0"/>
      <w:adjustRightInd w:val="0"/>
      <w:spacing w:line="181" w:lineRule="atLeast"/>
    </w:pPr>
    <w:rPr>
      <w:rFonts w:ascii="HelveticaNeueLT Std Lt" w:hAnsi="HelveticaNeueLT Std Lt"/>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8A91B-7EB3-4430-96E2-0D69D1B3A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513</Words>
  <Characters>2926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Weighting</vt:lpstr>
    </vt:vector>
  </TitlesOfParts>
  <Company>European Commission</Company>
  <LinksUpToDate>false</LinksUpToDate>
  <CharactersWithSpaces>3433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Weighting</dc:title>
  <dc:subject/>
  <dc:creator>silvajq</dc:creator>
  <cp:keywords/>
  <cp:lastModifiedBy>JS</cp:lastModifiedBy>
  <cp:revision>5</cp:revision>
  <cp:lastPrinted>2012-10-24T07:13:00Z</cp:lastPrinted>
  <dcterms:created xsi:type="dcterms:W3CDTF">2019-04-04T19:02:00Z</dcterms:created>
  <dcterms:modified xsi:type="dcterms:W3CDTF">2024-09-02T16:16:00Z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1063092991</vt:i4>
  </property>
  <property fmtid="{D5CDD505-2E9C-101B-9397-08002B2CF9AE}" pid="3" name="_EmailSubject">
    <vt:lpwstr>Annexes services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cajalja</vt:lpwstr>
  </property>
</Properties>
</file>